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2" w:rsidRDefault="00CD2E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CD2EF2" w:rsidRDefault="00CD2E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AA7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Załącznik nr 3 do Uchwały nr  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>245/XXVIII/2021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z dnia 27.05.2021r.</w:t>
      </w:r>
    </w:p>
    <w:p w:rsidR="00CD2EF2" w:rsidRDefault="00CD2E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CD2EF2" w:rsidRDefault="00CD2E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Objaśnienia przyjętych wartości do Wieloletniej Prognozy Finansowej Gminy Kłomnice na lata 2021-2030.</w:t>
      </w: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Zgodnie ze zmian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ami w budżecie w 2021 roku, dokonano następujących zmian w Wieloletniej Prognozie Finansowej Gminy K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łomnice na lata 2021-2030: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289 255,16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CD2E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229 255,16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60 000,00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289 255,16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CD2E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Zwiększenie wydatków </w:t>
            </w: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318 255,16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Zmniejszenie wydatków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29 000,00 zł</w:t>
            </w:r>
          </w:p>
        </w:tc>
      </w:tr>
      <w:tr w:rsidR="00CD2EF2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F2" w:rsidRDefault="00AA7D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142 185,74 zł</w:t>
            </w:r>
          </w:p>
        </w:tc>
      </w:tr>
    </w:tbl>
    <w:p w:rsidR="00CD2EF2" w:rsidRDefault="00CD2E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Dodano następujące przedsięwzięcia:</w:t>
      </w: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1) Przedłużenie usługi e Gmina ;</w:t>
      </w: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ab/>
        <w:t>2) Realizacja programu "Czyste powietrze" na terenie Gminy Kłomnice.</w:t>
      </w:r>
    </w:p>
    <w:p w:rsidR="00CD2EF2" w:rsidRDefault="00CD2E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AA7D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Pełen zakres zmian obrazują załączniki nr 1 i 2 do niniejszej uchwały.</w:t>
      </w:r>
    </w:p>
    <w:p w:rsidR="00CD2EF2" w:rsidRDefault="00CD2E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CD2E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CD2E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CD2E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D2EF2" w:rsidRDefault="00AA7D7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CD2EF2">
      <w:footerReference w:type="default" r:id="rId6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7D72">
      <w:r>
        <w:separator/>
      </w:r>
    </w:p>
  </w:endnote>
  <w:endnote w:type="continuationSeparator" w:id="0">
    <w:p w:rsidR="00000000" w:rsidRDefault="00A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CD2EF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D2EF2" w:rsidRDefault="00AA7D72">
          <w:pPr>
            <w:jc w:val="left"/>
            <w:rPr>
              <w:sz w:val="18"/>
            </w:rPr>
          </w:pPr>
          <w:r>
            <w:rPr>
              <w:sz w:val="18"/>
            </w:rPr>
            <w:t>Id: 65C7D743-0965-4000-9867-3B63F31CF3FF.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D2EF2" w:rsidRDefault="00AA7D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2EF2" w:rsidRDefault="00CD2E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7D72">
      <w:r>
        <w:separator/>
      </w:r>
    </w:p>
  </w:footnote>
  <w:footnote w:type="continuationSeparator" w:id="0">
    <w:p w:rsidR="00000000" w:rsidRDefault="00AA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AA7D72"/>
    <w:rsid w:val="00CA2A55"/>
    <w:rsid w:val="00C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6F510-0994-4734-A189-164DEE2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245/XXVIII/2021 z dnia 27 maja 2021 r.</vt:lpstr>
      <vt:lpstr/>
    </vt:vector>
  </TitlesOfParts>
  <Company>Rada Gminy Kłomnice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245/XXVIII/2021 z dnia 27 maja 2021 r.</dc:title>
  <dc:subject>Rady Gminy^Kłomnice
w sprawie zmian Wieloletniej Prognozy Finansowej Gminy Kłomnice na lata^2021-2030.</dc:subject>
  <dc:creator>ewilk</dc:creator>
  <cp:lastModifiedBy>Paweł Wysocki</cp:lastModifiedBy>
  <cp:revision>2</cp:revision>
  <dcterms:created xsi:type="dcterms:W3CDTF">2021-05-28T08:33:00Z</dcterms:created>
  <dcterms:modified xsi:type="dcterms:W3CDTF">2021-05-28T08:33:00Z</dcterms:modified>
  <cp:category>Akt prawny</cp:category>
</cp:coreProperties>
</file>