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2F" w:rsidRDefault="000841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center"/>
        <w:rPr>
          <w:rFonts w:ascii="Arial" w:hAnsi="Arial"/>
          <w:b/>
          <w:color w:val="000000"/>
          <w:sz w:val="20"/>
          <w:szCs w:val="20"/>
          <w:shd w:val="clear" w:color="auto" w:fill="FFFFFF"/>
          <w:lang w:val="x-none" w:eastAsia="en-US" w:bidi="ar-SA"/>
        </w:rPr>
      </w:pPr>
      <w:bookmarkStart w:id="0" w:name="_GoBack"/>
      <w:bookmarkEnd w:id="0"/>
      <w:r>
        <w:rPr>
          <w:rFonts w:ascii="Arial" w:hAnsi="Arial"/>
          <w:b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Załącznik nr 3 do Uchwały nr  229/XXVII/2021 z dnia </w:t>
      </w:r>
      <w:r>
        <w:rPr>
          <w:rFonts w:ascii="Arial" w:hAnsi="Arial"/>
          <w:b/>
          <w:color w:val="000000"/>
          <w:sz w:val="20"/>
          <w:szCs w:val="20"/>
          <w:shd w:val="clear" w:color="auto" w:fill="FFFFFF"/>
          <w:lang w:val="x-none" w:eastAsia="en-US" w:bidi="ar-SA"/>
        </w:rPr>
        <w:t>26.03.2021r.</w:t>
      </w:r>
    </w:p>
    <w:p w:rsidR="0003162F" w:rsidRDefault="00031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center"/>
        <w:rPr>
          <w:rFonts w:ascii="Arial" w:hAnsi="Arial"/>
          <w:b/>
          <w:color w:val="000000"/>
          <w:sz w:val="20"/>
          <w:szCs w:val="20"/>
          <w:shd w:val="clear" w:color="auto" w:fill="FFFFFF"/>
          <w:lang w:val="x-none" w:eastAsia="en-US" w:bidi="ar-SA"/>
        </w:rPr>
      </w:pPr>
    </w:p>
    <w:p w:rsidR="0003162F" w:rsidRDefault="000841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center"/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b/>
          <w:color w:val="000000"/>
          <w:sz w:val="20"/>
          <w:szCs w:val="20"/>
          <w:shd w:val="clear" w:color="auto" w:fill="FFFFFF"/>
          <w:lang w:val="x-none" w:eastAsia="en-US" w:bidi="ar-SA"/>
        </w:rPr>
        <w:t>Objaśnienia przyjętych wartości do Wieloletniej Prognozy Finansowej Gminy Kłomnice na lata 2021-2030.</w:t>
      </w:r>
    </w:p>
    <w:p w:rsidR="0003162F" w:rsidRDefault="000841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  <w:lang w:val="x-none" w:eastAsia="en-US" w:bidi="ar-SA"/>
        </w:rPr>
        <w:t>Zgodnie ze zmianami w bu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 xml:space="preserve">dżecie w 2021 roku, dokonano następujących zmian w Wieloletniej Prognozie Finansowej Gminy Kłomnice na lata </w:t>
      </w: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2021-2030: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0"/>
        <w:gridCol w:w="4280"/>
      </w:tblGrid>
      <w:tr w:rsidR="0003162F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2F" w:rsidRDefault="000841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Zwiększenie dochodów w 2021 r.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2F" w:rsidRDefault="000841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43 586,48 zł</w:t>
            </w:r>
          </w:p>
        </w:tc>
      </w:tr>
      <w:tr w:rsidR="0003162F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2F" w:rsidRDefault="000841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2F" w:rsidRDefault="000316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03162F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2F" w:rsidRDefault="000841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Zwiększenie dochodów bieżących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2F" w:rsidRDefault="000841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43 586,48 zł</w:t>
            </w:r>
          </w:p>
        </w:tc>
      </w:tr>
      <w:tr w:rsidR="0003162F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2F" w:rsidRDefault="000841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Zwiększenie wydatków w 2021 r.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2F" w:rsidRDefault="000841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43 586,48 zł</w:t>
            </w:r>
          </w:p>
        </w:tc>
      </w:tr>
      <w:tr w:rsidR="0003162F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2F" w:rsidRDefault="000841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2F" w:rsidRDefault="0003162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</w:p>
        </w:tc>
      </w:tr>
      <w:tr w:rsidR="0003162F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2F" w:rsidRDefault="000841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Zwiększenie wydatków bieżących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2F" w:rsidRDefault="000841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83 586,48 zł</w:t>
            </w:r>
          </w:p>
        </w:tc>
      </w:tr>
      <w:tr w:rsidR="0003162F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2F" w:rsidRDefault="000841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Zmniejszenie wydatków majątkowych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2F" w:rsidRDefault="000841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40 000,00 zł</w:t>
            </w:r>
          </w:p>
        </w:tc>
      </w:tr>
      <w:tr w:rsidR="0003162F"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2F" w:rsidRDefault="000841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Deficyt (plan) po zmianach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2F" w:rsidRDefault="000841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shd w:val="clear" w:color="auto" w:fill="FFFFFF"/>
                <w:lang w:val="x-none" w:eastAsia="en-US" w:bidi="ar-SA"/>
              </w:rPr>
              <w:t>142 185,74 zł</w:t>
            </w:r>
          </w:p>
        </w:tc>
      </w:tr>
    </w:tbl>
    <w:p w:rsidR="0003162F" w:rsidRDefault="00031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</w:p>
    <w:p w:rsidR="0003162F" w:rsidRDefault="000841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  <w:r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  <w:t>Pełen zakres zmian obrazują załączniki nr 1 i 2 do niniejszej uchwały.</w:t>
      </w:r>
    </w:p>
    <w:p w:rsidR="0003162F" w:rsidRDefault="000841C0">
      <w:pPr>
        <w:numPr>
          <w:ilvl w:val="0"/>
          <w:numId w:val="1"/>
        </w:numPr>
        <w:tabs>
          <w:tab w:val="left" w:pos="700"/>
        </w:tabs>
        <w:spacing w:before="100" w:after="100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 dochody  w związku z otrzymaniem środków na dopłaty do czynszu dla najemców, którzy utracili dochody w wyniku epidemii COVID-19-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 6060,00 zł.; na transport dla osób mających trudności w samodzielnym dotarciu do punku szczepień przeciwko wirusowi Sars-CoV-2 w tym osób niepełnosprawnych oraz organizacji punktów informacji telefonicznej – 34 656,00 zł.; dofinansowanie realizacji zadan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ia dotyczącego zapewnienia funkcjonowania publicznego transportu zbiorowego w zakresie przewozów autobusowych o charakterze użyteczności publicznej – 39 624,00 zł.; dotacja celowa przeznaczona na realizację zadań w zakresie wychowania przedszkolnego – 21 5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97,00 zł. oraz bieżącą realizacją budżetu </w:t>
      </w:r>
    </w:p>
    <w:p w:rsidR="0003162F" w:rsidRDefault="000841C0">
      <w:pPr>
        <w:numPr>
          <w:ilvl w:val="0"/>
          <w:numId w:val="1"/>
        </w:numPr>
        <w:tabs>
          <w:tab w:val="left" w:pos="700"/>
        </w:tabs>
        <w:spacing w:before="100" w:after="100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zmniejsza się dochody w związku z otrzymaniem pisma Ministerstwa Finansów, Funduszy i Polityki Regionalnej nr 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ST3.4750.2.2021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o ostatecznej kwocie subwencji oświatowej  - 74 616,00 zł. oraz bieżącą realizacją budżetu </w:t>
      </w:r>
    </w:p>
    <w:p w:rsidR="0003162F" w:rsidRDefault="000841C0">
      <w:pPr>
        <w:numPr>
          <w:ilvl w:val="0"/>
          <w:numId w:val="1"/>
        </w:numPr>
        <w:tabs>
          <w:tab w:val="left" w:pos="700"/>
        </w:tabs>
        <w:spacing w:before="100" w:after="100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zwiększa się wydatki w związku z otrzymaniem środków na dopłaty do czynszu dla najemców, którzy utracili dochody w wyniku epidemii COVID-19-  6060,00 zł.; na trans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port dla osób mających trudności w samodzielnym dotarciu do punku szczepień przeciwko wirusowi Sars-CoV-2 w tym osób niepełnosprawnych oraz organizacji punktów informacji telefonicznej – 34 656,00 zł.; dofinansowanie realizacji zadania dotyczącego zapewnie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nia funkcjonowania publicznego transportu zbiorowego w zakresie przewozów autobusowych o charakterze użyteczności publicznej – 45 040,00 zł.; dotacja celowa przeznaczona na realizację zadań w zakresie wychowania przedszkolnego – 21 597,00 zł. oraz bieżącą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realizacją budżetu </w:t>
      </w:r>
    </w:p>
    <w:p w:rsidR="0003162F" w:rsidRDefault="0003162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rPr>
          <w:rFonts w:ascii="Arial" w:hAnsi="Arial"/>
          <w:color w:val="000000"/>
          <w:szCs w:val="20"/>
          <w:shd w:val="clear" w:color="auto" w:fill="FFFFFF"/>
          <w:lang w:val="x-none" w:eastAsia="en-US" w:bidi="ar-SA"/>
        </w:rPr>
      </w:pPr>
    </w:p>
    <w:p w:rsidR="0003162F" w:rsidRDefault="0003162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3162F" w:rsidRDefault="0003162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3162F" w:rsidRDefault="0003162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3162F" w:rsidRDefault="0003162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3162F" w:rsidRDefault="000841C0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sectPr w:rsidR="0003162F">
      <w:footerReference w:type="default" r:id="rId7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841C0">
      <w:r>
        <w:separator/>
      </w:r>
    </w:p>
  </w:endnote>
  <w:endnote w:type="continuationSeparator" w:id="0">
    <w:p w:rsidR="00000000" w:rsidRDefault="0008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10"/>
      <w:gridCol w:w="3205"/>
    </w:tblGrid>
    <w:tr w:rsidR="0003162F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3162F" w:rsidRDefault="000841C0">
          <w:pPr>
            <w:jc w:val="left"/>
            <w:rPr>
              <w:sz w:val="18"/>
            </w:rPr>
          </w:pPr>
          <w:r>
            <w:rPr>
              <w:sz w:val="18"/>
            </w:rPr>
            <w:t>Id: 1A86F2AF-6982-41CB-9EDA-AC317FDA1C1E.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3162F" w:rsidRDefault="000841C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3162F" w:rsidRDefault="0003162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841C0">
      <w:r>
        <w:separator/>
      </w:r>
    </w:p>
  </w:footnote>
  <w:footnote w:type="continuationSeparator" w:id="0">
    <w:p w:rsidR="00000000" w:rsidRDefault="0008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pPr>
        <w:spacing w:beforeAutospacing="0" w:after="0" w:afterAutospacing="0" w:line="240" w:lineRule="auto"/>
        <w:ind w:left="700" w:hanging="360"/>
      </w:pPr>
      <w:rPr>
        <w:rFonts w:ascii="Times New Roman" w:hAnsi="Times New Roman"/>
        <w:b w:val="0"/>
        <w:i w:val="0"/>
        <w:strike w:val="0"/>
        <w:color w:val="auto"/>
        <w:sz w:val="24"/>
        <w:u w:val="none"/>
      </w:rPr>
    </w:lvl>
    <w:lvl w:ilvl="1">
      <w:start w:val="1"/>
      <w:numFmt w:val="decimal"/>
      <w:lvlText w:val="%2)"/>
      <w:lvlJc w:val="left"/>
      <w:pPr>
        <w:spacing w:beforeAutospacing="0" w:after="0" w:afterAutospacing="0" w:line="240" w:lineRule="auto"/>
        <w:ind w:left="1060" w:hanging="360"/>
      </w:pPr>
      <w:rPr>
        <w:rFonts w:ascii="Times New Roman" w:hAnsi="Times New Roman"/>
        <w:b w:val="0"/>
        <w:i w:val="0"/>
        <w:strike w:val="0"/>
        <w:color w:val="auto"/>
        <w:sz w:val="24"/>
        <w:u w:val="none"/>
      </w:rPr>
    </w:lvl>
    <w:lvl w:ilvl="2">
      <w:start w:val="1"/>
      <w:numFmt w:val="decimal"/>
      <w:lvlText w:val="%3)"/>
      <w:lvlJc w:val="left"/>
      <w:pPr>
        <w:spacing w:beforeAutospacing="0" w:after="0" w:afterAutospacing="0" w:line="240" w:lineRule="auto"/>
        <w:ind w:left="1420" w:hanging="360"/>
      </w:pPr>
      <w:rPr>
        <w:rFonts w:ascii="Times New Roman" w:hAnsi="Times New Roman"/>
        <w:b w:val="0"/>
        <w:i w:val="0"/>
        <w:strike w:val="0"/>
        <w:color w:val="auto"/>
        <w:sz w:val="24"/>
        <w:u w:val="none"/>
      </w:rPr>
    </w:lvl>
    <w:lvl w:ilvl="3">
      <w:start w:val="1"/>
      <w:numFmt w:val="decimal"/>
      <w:lvlText w:val="%4)"/>
      <w:lvlJc w:val="left"/>
      <w:pPr>
        <w:spacing w:beforeAutospacing="0" w:after="0" w:afterAutospacing="0" w:line="240" w:lineRule="auto"/>
        <w:ind w:left="1780" w:hanging="360"/>
      </w:pPr>
      <w:rPr>
        <w:rFonts w:ascii="Times New Roman" w:hAnsi="Times New Roman"/>
        <w:b w:val="0"/>
        <w:i w:val="0"/>
        <w:strike w:val="0"/>
        <w:color w:val="auto"/>
        <w:sz w:val="24"/>
        <w:u w:val="none"/>
      </w:rPr>
    </w:lvl>
    <w:lvl w:ilvl="4">
      <w:start w:val="1"/>
      <w:numFmt w:val="decimal"/>
      <w:lvlText w:val="%5)"/>
      <w:lvlJc w:val="left"/>
      <w:pPr>
        <w:spacing w:beforeAutospacing="0" w:after="0" w:afterAutospacing="0" w:line="240" w:lineRule="auto"/>
        <w:ind w:left="2140" w:hanging="360"/>
      </w:pPr>
      <w:rPr>
        <w:rFonts w:ascii="Times New Roman" w:hAnsi="Times New Roman"/>
        <w:b w:val="0"/>
        <w:i w:val="0"/>
        <w:strike w:val="0"/>
        <w:color w:val="auto"/>
        <w:sz w:val="24"/>
        <w:u w:val="none"/>
      </w:rPr>
    </w:lvl>
    <w:lvl w:ilvl="5">
      <w:start w:val="1"/>
      <w:numFmt w:val="decimal"/>
      <w:lvlText w:val="%6)"/>
      <w:lvlJc w:val="left"/>
      <w:pPr>
        <w:spacing w:beforeAutospacing="0" w:after="0" w:afterAutospacing="0" w:line="240" w:lineRule="auto"/>
        <w:ind w:left="2500" w:hanging="360"/>
      </w:pPr>
      <w:rPr>
        <w:rFonts w:ascii="Times New Roman" w:hAnsi="Times New Roman"/>
        <w:b w:val="0"/>
        <w:i w:val="0"/>
        <w:strike w:val="0"/>
        <w:color w:val="auto"/>
        <w:sz w:val="24"/>
        <w:u w:val="none"/>
      </w:rPr>
    </w:lvl>
    <w:lvl w:ilvl="6">
      <w:start w:val="1"/>
      <w:numFmt w:val="decimal"/>
      <w:lvlText w:val="%7)"/>
      <w:lvlJc w:val="left"/>
      <w:pPr>
        <w:spacing w:beforeAutospacing="0" w:after="0" w:afterAutospacing="0" w:line="240" w:lineRule="auto"/>
        <w:ind w:left="2860" w:hanging="360"/>
      </w:pPr>
      <w:rPr>
        <w:rFonts w:ascii="Times New Roman" w:hAnsi="Times New Roman"/>
        <w:b w:val="0"/>
        <w:i w:val="0"/>
        <w:strike w:val="0"/>
        <w:color w:val="auto"/>
        <w:sz w:val="24"/>
        <w:u w:val="none"/>
      </w:rPr>
    </w:lvl>
    <w:lvl w:ilvl="7">
      <w:start w:val="1"/>
      <w:numFmt w:val="decimal"/>
      <w:lvlText w:val="%8)"/>
      <w:lvlJc w:val="left"/>
      <w:pPr>
        <w:spacing w:beforeAutospacing="0" w:after="0" w:afterAutospacing="0" w:line="240" w:lineRule="auto"/>
        <w:ind w:left="3220" w:hanging="360"/>
      </w:pPr>
      <w:rPr>
        <w:rFonts w:ascii="Times New Roman" w:hAnsi="Times New Roman"/>
        <w:b w:val="0"/>
        <w:i w:val="0"/>
        <w:strike w:val="0"/>
        <w:color w:val="auto"/>
        <w:sz w:val="24"/>
        <w:u w:val="none"/>
      </w:rPr>
    </w:lvl>
    <w:lvl w:ilvl="8">
      <w:start w:val="1"/>
      <w:numFmt w:val="decimal"/>
      <w:lvlText w:val="%9)"/>
      <w:lvlJc w:val="left"/>
      <w:pPr>
        <w:spacing w:beforeAutospacing="0" w:after="0" w:afterAutospacing="0" w:line="240" w:lineRule="auto"/>
        <w:ind w:left="3580" w:hanging="360"/>
      </w:pPr>
      <w:rPr>
        <w:rFonts w:ascii="Times New Roman" w:hAnsi="Times New Roman"/>
        <w:b w:val="0"/>
        <w:i w:val="0"/>
        <w:strike w:val="0"/>
        <w:color w:val="auto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3162F"/>
    <w:rsid w:val="000841C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E9087C-F7EB-42D9-ABBF-8BD8881B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229/XXVII/2021 z dnia 26 marca 2021 r.</vt:lpstr>
      <vt:lpstr/>
    </vt:vector>
  </TitlesOfParts>
  <Company>Rada Gminy Kłomnice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229/XXVII/2021 z dnia 26 marca 2021 r.</dc:title>
  <dc:subject>w sprawie zmian Wieloletniej Prognozy Finansowej Gminy Kłomnice na lata 2021-2030.</dc:subject>
  <dc:creator>ewilk</dc:creator>
  <cp:lastModifiedBy>Paweł Wysocki</cp:lastModifiedBy>
  <cp:revision>2</cp:revision>
  <dcterms:created xsi:type="dcterms:W3CDTF">2021-03-29T13:10:00Z</dcterms:created>
  <dcterms:modified xsi:type="dcterms:W3CDTF">2021-03-29T13:10:00Z</dcterms:modified>
  <cp:category>Akt prawny</cp:category>
</cp:coreProperties>
</file>