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</w:rPr>
        <w:t>ZAŁĄCZNIK NR 3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Objaśnienia przyjętych wartości do Wieloletniej Prognozy Finansowej Gminy Kłomnice na lata 2021-2030.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Obowiązek sporządzenia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Wieloletniej Prognozy Finansowe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j jest jedną z zasadniczych zmian wprowadzonych ustawą z dnia 27 sierpnia 2009 roku odnoszących się do zagadnień gospodarki finansowej jednostek samorządu terytorialnego. Regulacja ta stwarza możliwość kompleksowej analizy sy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tuacji finansowej jednostki oraz możliwość oceny podejmowanych przedsięwzięć z perspektywy ich znaczenia dla samorządu. W zamyśle prawodawcy wieloletnia prognoza finansowa jednostki samorządu terytorialnego ma być instrumentem nowoczesnego zarządzania fina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nsami publicznymi.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Wieloletniej Prognozie Finansowej Gminy Kłomnice zastosowano wzory załączników (załącznik nr 1 oraz załącznik nr 2 do uchwały) zgodnie z Rozporządzeniem Ministra Finansów z dnia 10 stycznia 2013 roku w sprawie wieloletniej prognozy fin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ansowej jednostki samorządu terytorialnego (Dz. U. z 2015 r. poz. 92) z uwzględnieniem zmian wynikających z Rozporządzenia Ministra Finansów, Inwestycji i Rozwoju z dnia 1 października 2019 r. (Dz. U. z 2019 r. poz. 1903) oraz Rozporządzenia Ministra Finan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sów z dnia 10 sierpnia 2020 r. (Dz. U. z 2020 r. poz. 1381).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Podstawą opracowania Wieloletniej Prognozy Finansowej Gminy Kłomnice jest projekt uchwały budżetowej na 2021 rok, dane sprawozdawcze z wykonania budżetu Gminy Kłomnice za lata 2018 i 2019, wartoś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ci planowane na koniec III kwartału 2020 roku oraz Wytyczne Ministra Finansów dotyczące stosowania jednolitych wskaźników makroekonomicznych, będących podstawą oszacowania skutków finansowych projektowanych ustaw (aktualizacja – lipiec 2020 r.). W kolumnie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pomocniczej dotyczącej przewidywanego wykonania w 2020 roku wprowadzono wartości, zgodnie z aktualnym planem budżetu Gminy Kłomnice na dzień przygotowania projektu.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Art. 227 ust. 1 ustawy z dnia 27 sierpnia 2009 roku o finansach publicznych (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. Dz. U. z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 2019 r. poz. 869 z 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. zm.) zakłada, iż wieloletnia prognoza finansowa obejmuje okres roku budżetowego oraz co najmniej trzech kolejnych lat budżetowych. Z ust. 2 powołanego artykułu wynika, iż prognozę kwoty długu, stanowiącą integralną część wieloletn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iej prognozy finansowej, sporządza się na okres, na który zaciągnięto lub planuje się zaciągnąć zobowiązanie. Na dzień podjęcia uchwały, spłatę zobowiązań przewiduje się do roku 2030. W związku z powyższym, Wieloletnia Prognoza Finansowa Gminy Kłomnice zos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tała przygotowana na lata 2021-2030.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Kwoty wydatków wynikające z limitów wydatków na przedsięwzięcia nie wykraczają poza okres prognozy kwoty długu. Nie planuje się także wydatków z tytułu niewymagalnych poręczeń i gwarancji, które przekraczałyby okres pro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gnozy kwoty długu.</w:t>
      </w:r>
      <w:bookmarkStart w:id="0" w:name="_GoBack"/>
      <w:bookmarkEnd w:id="0"/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1. Założenia makroekonomiczne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Przy opracowaniu prognozy pozycji budżetowych Gminy Kłomnice wykorzystano trzy podstawowe mierniki koniunktury gospodarczej – produkt krajowy brutto (PKB) oraz wskaźnik inflacji (CPI) oraz wskaźnik wynagrodz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eń. Na ich podstawie oszacowano wartości dochodów i wydatków Gminy Kłomnice, co, dzięki konstrukcji i zaawansowanym metodom dokonywania obliczeń, pozwoli realizować w przyszłości właściwą politykę finansową jednostki.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Zgodnie z zaleceniami Ministra Finansó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w, prognozę wskazanych pozycji oparto o Wytyczne dotyczące stosowania jednolitych wskaźników makroekonomicznych będących podstawą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lastRenderedPageBreak/>
        <w:t>oszacowania skutków finansowych projektowanych ustaw. Ostatnia dostępna aktualizacja ww. wytycznych miała miejsce 19 lipca 202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0 r., a dane wynikające z powołanego dokumentu prezentuje tabela 1.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>Tabela 1. Dane makroekonomiczne przyjęte do wyliczeń prognozy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36"/>
        <w:gridCol w:w="836"/>
        <w:gridCol w:w="836"/>
        <w:gridCol w:w="836"/>
        <w:gridCol w:w="836"/>
        <w:gridCol w:w="836"/>
        <w:gridCol w:w="837"/>
      </w:tblGrid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Wskaźnik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PKB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4,00%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3,40%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3,10%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3,10%</w:t>
            </w: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Inflacja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1,80%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2,20%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2,40%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Wynagrodzenia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1,50%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1,90%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2,20%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2,70%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2,90%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Wskaźnik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334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PKB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2,80%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2,80%</w:t>
            </w:r>
          </w:p>
        </w:tc>
        <w:tc>
          <w:tcPr>
            <w:tcW w:w="3345" w:type="dxa"/>
            <w:gridSpan w:val="4"/>
            <w:vMerge/>
            <w:tcBorders>
              <w:bottom w:val="single" w:sz="4" w:space="0" w:color="000000"/>
            </w:tcBorders>
            <w:tcMar>
              <w:left w:w="0" w:type="dxa"/>
            </w:tcMar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Inflacja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2,50%</w:t>
            </w:r>
          </w:p>
        </w:tc>
        <w:tc>
          <w:tcPr>
            <w:tcW w:w="3345" w:type="dxa"/>
            <w:gridSpan w:val="4"/>
            <w:vMerge/>
            <w:tcBorders>
              <w:bottom w:val="single" w:sz="4" w:space="0" w:color="000000"/>
            </w:tcBorders>
            <w:tcMar>
              <w:left w:w="0" w:type="dxa"/>
            </w:tcMar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28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Wynagrodzenia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3,00%</w:t>
            </w:r>
          </w:p>
        </w:tc>
        <w:tc>
          <w:tcPr>
            <w:tcW w:w="3345" w:type="dxa"/>
            <w:gridSpan w:val="4"/>
            <w:vMerge/>
            <w:tcBorders>
              <w:bottom w:val="single" w:sz="4" w:space="0" w:color="000000"/>
            </w:tcBorders>
            <w:tcMar>
              <w:left w:w="0" w:type="dxa"/>
            </w:tcMar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Źródło: Wytyczne dotyczące stosowania jednolitych wskaźników 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makroekonomicznych będących podstawą oszacowania skutków finansowych projektowanych ustaw. Aktualizacja – 19 lipca 2020 r., (www.mf.gov.pl), Warszawa 2020.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Prognozę oparto o następujące założenia:</w:t>
      </w:r>
    </w:p>
    <w:p w:rsidR="002E041A" w:rsidRDefault="006C277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dla roku 2021 przyjęto wartości wynikające z projektu budże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tu;</w:t>
      </w:r>
    </w:p>
    <w:p w:rsidR="002E041A" w:rsidRDefault="006C277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dla lat 2022-2030 prognozę wykonano poprzez indeksację o wskaźniki dynamiki inflacji, dynamiki PKB oraz dynamiki realnej wynagrodzeń brutto.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Podzielenie prognozy w powyższy sposób pozwala na realną ocenę możliwości inwestycyjno-kredytowych gminy.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Zgodn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ie z przyjętym założeniem, dochody i wydatki bieżące w roku 2021 uwzględnione w WPF wynikają z wartości zawartych w projekcie budżetu na 2021 rok. Od 2022 roku dochody i wydatki bieżące ustalono za pomocą wskaźników inflacji, wskaźnika dynamiki PKB oraz ws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kaźnika dynamiki realnej wynagrodzeń brutto. W tym celu, posłużono się metodą indeksacji wartości bazowych o odpowiednio przypisany dla każdej kategorii budżetowej wskaźnik. Waga zmiennej makroekonomicznej oznacza w jakim stopniu dochody lub wydatki zależą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od poziomu wskaźnika z danego roku. Indeksowana zostaje wartość na rok przyszły.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Sposób indeksacji za pomocą wag przedstawia poniższy wzór: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4111625" cy="152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59298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gdzie: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123825" cy="152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97596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wartość prognozowana danej kategorii dochodów bądź wydatków budżetowych;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123825" cy="152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64349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wartość danej kategorii d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ochodów bądź wydatków budżetowych w roku poprzedzającym;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238125" cy="1524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304219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wartość wskaźnika inflacji w roku prognozowanym;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266700" cy="1524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739604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waga przypisana wskaźnikowi CPI, będąca jego rzeczywistym wpływem na prognozowaną kategorię;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295275" cy="1524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352248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wskaźnik dynamiki PKB;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304800" cy="1524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72528" name="Pictur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waga przypisana wskaźnikowi dynamiki PKB, będąca jego rzeczywistym wpływem na prognozowaną kategorię;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228600" cy="1524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32871" name="Picture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wskaźnik dynamiki realnej wynagrodzeń brutto w gospodarce narodowej;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266700" cy="1524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31582" name="Picture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- waga przypisana wskaźnikowi dynamiki WB, będąca jego rzeczywistym wpływem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 prognozowaną kategorię.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2. Dochody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Prognozy dochodów Gminy Kłomnice dokonano w podziałach merytorycznych, a następnie sklasyfikowano w podziały wymagane ustawowo. Podział merytoryczny został sporządzony za pomocą paragrafów klasyfikacji budżetowej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i objął dochody bieżące i majątkowe.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Dochody bieżące prognozowano w podziale na:</w:t>
      </w:r>
    </w:p>
    <w:p w:rsidR="002E041A" w:rsidRDefault="006C2776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dochody z tytułu udziału we wpływach z podatku dochodowego od osób fizycznych;</w:t>
      </w:r>
    </w:p>
    <w:p w:rsidR="002E041A" w:rsidRDefault="006C2776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dochody z tytułu udziału we wpływach z podatku dochodowego od osób prawnych;</w:t>
      </w:r>
    </w:p>
    <w:p w:rsidR="002E041A" w:rsidRDefault="006C2776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subwencję ogólną;</w:t>
      </w:r>
    </w:p>
    <w:p w:rsidR="002E041A" w:rsidRDefault="006C2776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otacje i środki przeznaczone na cele bieżące;</w:t>
      </w:r>
    </w:p>
    <w:p w:rsidR="002E041A" w:rsidRDefault="006C2776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pozostałe dochody (m. in.: podatki i opłaty lokalne, grzywny i kary pieniężne, wpływy z usług, odsetki od środków na rachunkach bankowych), w tym: z podatku od nieruchomości.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Dochody majątkowe prognozowano w po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dziale na:</w:t>
      </w:r>
    </w:p>
    <w:p w:rsidR="002E041A" w:rsidRDefault="006C2776">
      <w:pPr>
        <w:numPr>
          <w:ilvl w:val="0"/>
          <w:numId w:val="3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dochody ze sprzedaży majątku;</w:t>
      </w:r>
    </w:p>
    <w:p w:rsidR="002E041A" w:rsidRDefault="006C2776">
      <w:pPr>
        <w:numPr>
          <w:ilvl w:val="0"/>
          <w:numId w:val="3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dotacje i środki przeznaczone na inwestycje;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2.1. Dochody bieżące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Uwzględniając dotychczasowe kształtowanie się dochodów budżetu Gminy Kłomnice oraz przewidywania na następne lata, w poszczególnych kategoriach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dochodów bieżących posłużono się metodą indeksacji wartości bazowych o odpowiednio przypisany dla każdej kategorii budżetowej wskaźnik, za pomocą następujących wag: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Tabela 2. Wagi dla danych makroekonomicznych przyjęte do wyliczeń prognozy dochodów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Wyszcz</w:t>
            </w: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ególnienie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INF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PKB</w:t>
            </w:r>
          </w:p>
        </w:tc>
      </w:tr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dochody z udziału w PIT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</w:tr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dochody z udziału w CIT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</w:tr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subwencja ogólna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</w:tr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dotacje bieżące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</w:tr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pozostałe, w tym: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</w:tr>
      <w:tr w:rsidR="002E041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 podatku od nieruchomości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Źródło: Opracowanie 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Podatek od nieruchomości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Stosownie do przepisów ustawy o podatkach i opłatach lokalnych wysokość stawek podatku od nieruchomości nie może przekroczyć górnych granic stawek kwotowych ogłoszonych przez Ministra Finansów. W roku budżetowym wpływy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z tytułu podatku od nieruchomości zaplanowano w oparciu o planowane na 2021 r. stawki podatku od nieruchomości oraz zasób nieruchomości Gminy Kłomnice, który stanowi przedmiot opodatkowania. Wysokość wpływów z podatku od nieruchomości na 2021 r. ustalono w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ięc na 4 400 000,00 zł.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latach następnych zakłada się wzrostowy trend wpływów z tego podatku i zwiększanie dochodów będących konsekwencją planowanego wzrostu stawek podatkowych oraz corocznego przyrostu przedmiotów opodatkowania związanych z prowadzeniem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działalności gospodarczej oraz budynków mieszkalnych.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Udział w podatkach centralnych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lastRenderedPageBreak/>
        <w:t>Jako że ta grupa dochodów pozostaje w bardzo silnym związku z sytuacją makroekonomiczną kraju, przy szacowaniu dochodów z tytułu udziałów w podatku dochodowym od osób fiz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ycznych (PIT) oraz od osób prawnych (CIT) w latach 2021-2030 wzięto pod uwagę założony wskaźnik PKB. Zastosowana metodologia prognozowania dochodów z tego tytułu, przełożyła się na średnioroczny wzrost wpływów na poziomie ok. 400 tys. zł.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Subwencje i dotac</w:t>
      </w: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je na zadania bieżące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Planowaną kwotę subwencji ogólnej oraz dotacji celowych z budżetu państwa (innych niż środki na dofinansowanie realizacji projektów europejskich) na 2021 rok przyjęto w oparciu o informacje przekazane przez Ministra Finansów. W kolejn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ych latach prognozy założono wzrost kwoty otrzymywanych dotychczas cyklicznych subwencji i dotacji celowych z budżetu państwa w oparciu o prognozowany wskaźnik inflacji.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2.2. Dochody majątkowe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Waloryzacji o wskaźniki makroekonomiczne nie poddano dochodów 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 charakterze majątkowym. Dochody majątkowe, w tym przede wszystkim dochody ze sprzedaży majątku pozbawione są regularności, a ich poziom uzależniony jest od czynników niezależnych, jak np. koniunktura na rynku nieruchomości.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 2021 roku dochody ze sprzedaż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y majątku zaplanowano na poziomie 264 405,00 zł. Bazując na informacjach o wykonaniu dochodów majątkowych w poprzednich latach, należy stwierdzić, że zaplanowana kwota jest realna, ryzyko ich niewykonania jest minimalne, a sama sprzedaż mienia została zapl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anowana przy dochowaniu najwyższej staranności.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Wartość zaplanowanych w 2021 roku dochodów ze sprzedaży ma zapewnić sprzedaż nieruchomości, których wykaz zaprezentowano w poniższej tabeli.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>Tabela 3. Wykaz nieruchomości planowanych do sprzedaży w 2021 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1792"/>
        <w:gridCol w:w="1208"/>
        <w:gridCol w:w="1351"/>
        <w:gridCol w:w="1401"/>
      </w:tblGrid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Położenie nieruchomości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działki i obręb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Powierzchnia [ha]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Wartość netto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Planowany dochód</w:t>
            </w:r>
          </w:p>
        </w:tc>
      </w:tr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ul. Kościuszki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3336 obręb Zawada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26 500,00 zł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32 595,00 zł</w:t>
            </w:r>
          </w:p>
        </w:tc>
      </w:tr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ul. Sobieskiego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2753 obręb Zawada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5 000,00 zł</w:t>
            </w:r>
          </w:p>
        </w:tc>
      </w:tr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 Główna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2099 obręb Chorzenice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26 900,00 zł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33 087,00 zł</w:t>
            </w:r>
          </w:p>
        </w:tc>
      </w:tr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ul.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Karczewicka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314/10 obręb Rzeki Wielkie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12 500,00 zł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15 373,00 zł</w:t>
            </w:r>
          </w:p>
        </w:tc>
      </w:tr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ul. Częstochowska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6/1,6/3 obręb Kłomnice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0,35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100 000,00 zł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123 000,00 zł</w:t>
            </w:r>
          </w:p>
        </w:tc>
      </w:tr>
      <w:tr w:rsidR="002E041A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ul. Miernicza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363 obręb Rzeki Wielkie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0,55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45 000,00 zł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55 350,00 zł</w:t>
            </w:r>
          </w:p>
        </w:tc>
      </w:tr>
      <w:tr w:rsidR="002E041A"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Suma: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264 405,00 zł</w:t>
            </w: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Źródło: Opracowanie 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2021 r. Gmina Kłomnice zaplanowała dotacje na inwestycje w wysokości 3.663.500 zł, które wiążą się m.in. z uzyskaniem bezzwrotnego dofinansowania na realizację zadań przedstawionych w załączniku nr 2 do Wi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eloletniej Prognozy Finansowej. Dotyczy to zadania pn. „Zagospodarowanie zdewastowanej przestrzeni publicznej w centrum Kłomnic-tzw. „Pasternik”” – wartość dofinansowania ujęta w budżecie na 2021 r. wynosi 2.009.408,00 zł oraz zadania pn. „Kompleksowa mode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rnizacja trzech budynków użyteczności publicznej w Gminie Kłomnice” – wartość dofinansowania ujęta w budżecie na 2021 r. wynosi 484.092,00  zł. Umowy o dofinansowanie ww. zadań zostały zawarte.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Ponadto w Wieloletniej Prognozie Finansowej Gminy Kłomnice na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lata 2021-2030 zaplanowano dotacje na inwestycje w 2022 roku w wysokości 6.132.184,00 zł. Środki te wiążą się z uzyskaniem bezzwrotnego dofinansowania na realizację zadań przedstawionych w załączniku nr 2 do Wieloletniej Prognozy Finansowej.  Gmina Kłomnic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e zamierza aplikować o kolejne środki unijne oraz dotacje z Funduszu Dróg Samorządowych. Długa lista projektów realizowanych przez Gminę mobilizuje do ciągłego poszukiwania nowych źródeł finansowania, w tym finansowania unijnego. W przypadku negatywnego ro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zpatrzenia wniosków o dofinansowanie, zadania ujęte w wykazie przedsięwzięć nie będą realizowane, a Wieloletnia Prognoza Finansowa zostanie stosownie zaktualizowana. 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3. Wydatki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Prognozy wydatków Gminy Kłomnice dokonano w podziale na kategorie wydatków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bieżących i wydatków majątkowych.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3.1. Wydatki bieżące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Wydatki bieżące prognozowano w podziale na:</w:t>
      </w:r>
    </w:p>
    <w:p w:rsidR="002E041A" w:rsidRDefault="006C2776">
      <w:pPr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wynagrodzenia i składki od nich naliczane;</w:t>
      </w:r>
    </w:p>
    <w:p w:rsidR="002E041A" w:rsidRDefault="006C2776">
      <w:pPr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wydatki związane z obsługą zadłużenia, w tym odsetki i dyskonto;</w:t>
      </w:r>
    </w:p>
    <w:p w:rsidR="002E041A" w:rsidRDefault="006C2776">
      <w:pPr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pozostałe wydatki bieżące.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Zgodnie z założeniami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przyjętymi przy prognozie dochodów, dla wydatków bieżących w roku 2021 przyjęto projekt budżetu. W 2021 r. w budżecie Gminy Kłomnice wydatki na wynagrodzenia i pochodne od wynagrodzeń zabezpieczono w wysokości 24.366.486 zł, co stanowi wzrost w stosunku do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przewidywanego wykonania na koniec 2020 r. o kwotę 712.857 zł. Od 2022 r. planuje się wyhamowanie dynamiki wzrostu wynagrodzeń, stąd w latach 2022-2024 prognozę oparto o wskaźnik inflacji (80%). Natomiast od 2025 roku, z uwagi na podejście ostrożnościowe,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prognozę wydatków bieżących związanych z wynagrodzeniami oraz pozostałe wydatki bieżące zaprognozowano o wskaźnik inflacji (100%)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Podobne założenia przyjęto w przypadku prognozowania pozostałych wydatków bieżących. O ile w przypadku wydatków na wynagrodze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nia, pochodnych od wynagrodzeń i pozostałych wydatków bieżących możliwość zastosowania indeksacji jest uzasadniona, o tyle wydatki związane z obsługą długu są ściśle uzależnione od postanowień zawartych w umowach kredytowych, pożyczkowych i emisji obligacj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i.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>Tabela 4. Wagi dla danych makroekonomicznych przyjęte do wyliczeń prognozy wydatków bieżących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2E041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INFLACJA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PKB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WYNAGR</w:t>
            </w:r>
          </w:p>
        </w:tc>
      </w:tr>
      <w:tr w:rsidR="002E041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wynagrodzenia i pochodne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</w:tr>
      <w:tr w:rsidR="002E041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inne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100,00%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0,00%</w:t>
            </w: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Źródło: Opracowanie 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Wydatki na obsługę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długu skalkulowano w oparciu o obowiązujące stawki WIBOR jak również warunki wynikające z zawartych umów (w przypadku zobowiązań historycznych). Dodatkowo, w prognozie WPF uwzględniono również koszty obsługi zobowiązania planowanego do zaciągnięcia.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Należy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dodać, iż w kolumnie pomocniczej WPF „2020 przewidywane wykonanie” w pozycji [10.11] wykazano poniesione wydatki bieżące podlegające ustawowemu wyłączeniu z limitu spłaty zobowiązań w wysokości 78.363,00 zł. Niniejsza kwota obejmuje wydatki bieżące ponies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ione w celu realizacji zadań związanych z przeciwdziałaniem COVID-19, które w części sfinansowano m.in. z rezerwy na zarządzanie kryzysowe, bezpośrednio w efekcie wystąpienia pandemii. 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3.2. Wydatki majątkowe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Wydatki majątkowe obejmują przede wszystkim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przedsięwzięcia inwestycyjne, które ujęto w załączniku nr 2 do Wieloletniej Prognozy Finansowej Gminy Kłomnice na lata 2021-2025. W kolejnych latach wydatki majątkowe zostały zaplanowane tak, aby pokryły pozostałą po spłacie zobowiązań część tzw. wolnych ś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rodków.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Oprócz przedsięwzięć przewidzianych w WPF zaplanowano niezbędne wydatki, takie jak: dotacje celowe dla JST wynikające z ustawy o ochronie gruntów rolnych i leśnych, wydatki na pozyskanie gruntów pod inwestycje drogowe itp.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4. Wynik budżetu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Wynik bu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dżetu w prognozowanym okresie jest ściśle powiązany z przyjętymi założeniami do prognozy dochodów i wydatków. Fakt prognozowania w oparciu o dane makroekonomiczne o niewielkiej zmienności powoduje zrównoważony i stabilny wzrost dochodów oraz wydatków bieżą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cych, któremu można przypisać cechy statystyczne. W całym prognozowanym okresie utrzymana została relacja z art. 242 (brak deficytu bieżącego).</w:t>
      </w:r>
    </w:p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>Tabela 5. Wynik budżetu Gminy Kłomnice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67 154 491,00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71 245 502,18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66 654 959,00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68 461 449,00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67 238 665,68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68 892 106,34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63 434 963,00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65 206 209,00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-84 174,68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2 353 395,84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3 219 996,00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3 255 240,00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70 236 417,00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72 070 729,00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73 953 329,00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75 871 612,00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66 556 417,00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69 440 729,00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70 954 880,22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74 341 612,00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3 680 000,00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2 630 000,00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2 998 448,78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1 530 000,00</w:t>
            </w: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Dochody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77 811 320,00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79 800 724,00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Wydatki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76 231 320,00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79 401 078,00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Wynik budżetu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1 580 000,00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399 646,00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Źródło: </w:t>
      </w: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Opracowanie 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5. Przychody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wysokości 3.478.702,52 zł zaplanowano przychody w budżecie Gminy Kłomnice na 2021 r. Przychody Gminy Kłomnice w 2021 r. obejmują:</w:t>
      </w:r>
    </w:p>
    <w:p w:rsidR="002E041A" w:rsidRDefault="006C2776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kwocie 2.566.340,78 zł przychody z tytułu kredytów, pożyczek lub emisji papierów wartości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owych;</w:t>
      </w:r>
    </w:p>
    <w:p w:rsidR="002E041A" w:rsidRDefault="006C2776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kwocie 812.361,74  zł nadwyżkę z lat ubiegłych oraz</w:t>
      </w:r>
    </w:p>
    <w:p w:rsidR="002E041A" w:rsidRDefault="006C2776">
      <w:pPr>
        <w:numPr>
          <w:ilvl w:val="0"/>
          <w:numId w:val="5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kwocie 100.000 zł spłatę udzielonych pożyczek w latach ubiegłych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Planowana w budżecie Gminy Kłomnice nadwyżka budżetowa z lat ubiegłych w kwocie 562.255zł dotyczy środków z Rządowego Funduszu I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nwestycji Lokalnych, które wpłynęły na konto bankowe Gminy w 2020 roku. Przewiduje się, że do końca roku budżetowego 2020 środki nie zostaną one wydatkowane, w związku z powyższym, w budżecie Gminy Kłomnice na 2021 r. zaplanowano przychody na §905, który 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bejmują przychody jednostek samorządu terytorialnego z niewykorzystanych środków pieniężnych na rachunku bieżącym budżetu, wynikających z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lastRenderedPageBreak/>
        <w:t>rozliczenia dochodów i wydatków nimi finansowanych związanych ze szczególnymi zasadami wykonywania budżetu określonymi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w odrębnych ustawach. Natomiast pozostałą część nadwyżki z lat ubiegłych stanowią środki zaplanowane na §906, który obejmuje przychody jednostek samorządu wynikające z rozliczenia środków określonych w art. 5 ust. 1 pkt 2 ustawy i dotacji na realizację pr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ogramu, projektu lub zadania finansowanego z udziałem tych środków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W latach 2022-2028 przychodów nie planuje się.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6. Rozchody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 dzień 31.12.2020 kwota zadłużenia, wpływająca na kształtowanie się wskaźnika faktycznej obsługi zadłużenia, wynikająca z zaciąg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niętych kredytów, pożyczek i wyemitowanych obligacji będzie wynosić 22.125.267,68, a jego spłata planowana jest do roku 2029.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Należy nadmienić, iż w poniższej tabeli, w ramach zobowiązań historycznych, wynikających z podpisanych umów, ujęto również spłatę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kredytu, którego zaciągnięcie planuje się do końca roku 2020. W 2020 roku Gmina Kłomnice planuje zaciągnięcie kredytu w wysokości 2.600.00,00. W celu zachowania realistyczności przedkładanego projektu Wieloletniej Prognozy Finansowej, spłaty tego zobowiąza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nia ujęto w pozycji [10.6] w WPF. 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 dzień przedłożenia niniejszego projektu, w kolumnie pomocniczej WPF 2020, w pozycji [6] wykazano kwotę długu  w wysokości 22 374 913,68 zł. Różnica wynika z aktualnego planu przychodów budżetu Gminy na dzień 15 listopa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da br. Przewiduje się jednak, iż zobowiązanie w wysokości 249.646 zł nie zostanie zaciągnięte do końca 2020 roku. Jednakże z uwagi na trudną sytuację epidemiologiczną w kraju i brak pewności o kształtowaniu się budżetu Gminy Kłomnice, spłaty tego zobowiąza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nia zostały zabezpieczone w ramach kredytów planowanych. W przypadku braku potrzeb pożyczkowych do końca roku, Wieloletnia Prognoza Finansowa Gminy Kłomnice zostanie stosownie zaktualizowana w 2021 roku, na podstawie faktycznego wykonania budżetu.  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>Tabela</w:t>
      </w: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6. Spłata zaciągniętych i planowanych zobowiązań Gminy Kłomnice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1410"/>
        <w:gridCol w:w="1411"/>
        <w:gridCol w:w="1411"/>
        <w:gridCol w:w="1411"/>
      </w:tblGrid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Zobowiązania historyczne (podpisane umowy)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2 294 527,84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2 353 395,84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3 219 996,00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3 255 240,00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Kredyt planowany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1 000 000,00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Roczna rata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kapitałowa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3 294 527,84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2 353 395,84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3 219 996,00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3 255 240,00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Zobowiązania historyczne (podpisane umowy)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3 380 000,00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2 280 000,00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2 082 108,00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330 000,00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Kredyt planowany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300 000,00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350 000,00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916 340,78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1 200 000,00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Roczna rata kapitałowa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3 680 000,00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2 630 000,00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2 998 448,78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1 530 000,00</w:t>
            </w: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Wyszczególnienie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Zobowiązania historyczne (podpisane umowy)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330 000,00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</w:t>
            </w:r>
          </w:p>
        </w:tc>
        <w:tc>
          <w:tcPr>
            <w:tcW w:w="2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Kredyt planowany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1 250 000,00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399 646,00</w:t>
            </w:r>
          </w:p>
        </w:tc>
        <w:tc>
          <w:tcPr>
            <w:tcW w:w="2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2E041A">
        <w:trPr>
          <w:trHeight w:val="34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Roczna rata kapitałowa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1 580 000,00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399 646,00</w:t>
            </w:r>
          </w:p>
        </w:tc>
        <w:tc>
          <w:tcPr>
            <w:tcW w:w="28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041A" w:rsidRDefault="002E041A">
            <w:pPr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lastRenderedPageBreak/>
        <w:t>Źródło: Opracowanie 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Zgodnie z ustawą o finansach publicznych Gmina Kłomnice planuje wyłączenia z limitu spłat zobowiązań, oddziaływujące tym samym na wskaźnik faktycznej obsługi zadłużenia, co przedstawia poniższa tabela.</w:t>
      </w:r>
    </w:p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Tabela 7. Wyłączenia z limitu spłaty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3260"/>
        <w:gridCol w:w="1418"/>
        <w:gridCol w:w="1328"/>
      </w:tblGrid>
      <w:tr w:rsidR="002E041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</w:tr>
      <w:tr w:rsidR="002E041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Kwota przypadająca na dany rok kwot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wyłączeń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określonych w art. 243 ust. 3 ustawy Kwota przypadająca na dany rok kwot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wyłączeń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określonych w art. 243 ust. 3 ustawy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W związku ze spłatą zobowiązań w </w:t>
            </w: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terminie nie dłuższym niż 90 dni po zakończeniu programu, projektu lub zadania i otrzymaniu środków, o których mowa w art. 5 ust. 1 pkt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Spłata kredytu 1 000 000,00 zł</w:t>
            </w:r>
          </w:p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Wydatki bieżące z tytułu odsetek: 20.978,93 zł.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2E041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Kwota przypadająca na dany 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rok kwot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wyłączeń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określonych w art. 243 ust. 3a ustawy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 związku z umową zawartą na realizację programu, projektu lub zadania finansowanego w co najmniej 60% ze środków, o których mowa w art. 5 ust. 1 pkt 2, w części odpowiadającej wydatkom na wkład krajo</w:t>
            </w: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  <w:tr w:rsidR="002E041A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Kwota przypadająca na dany rok kwot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wyłączeń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 określonych w art. 243 ust. 3b ustawy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 związku z wcześniejszą spłatą zobowiązań, która przypada po roku budżetowym, na który uchwalono budżet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0,00 zł</w:t>
            </w:r>
          </w:p>
        </w:tc>
      </w:tr>
    </w:tbl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Źródło: Opracowanie 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 xml:space="preserve">W </w:t>
      </w: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dniu 15 lipca 2019 roku Gmina Kłomnice podpisała umowę o dofinansowanie projektu "Zagospodarowanie zdewastowanej przestrzeni publicznej w centrum Kłomnic - tzw. Pasternik" nr UDA-RPSL.10.03.05-24-07DB/17-00 w ramach Regionalnego Programu Operacyjnego Wojew</w:t>
      </w: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ództwa Śląskiego na lata 2014-2020. Niniejsza umowa została aneksowana w dniu 13 listopada  2019 r. (Aneks nr 1 nr UDA-RPSL.10.03.05-24-07DB/17-01). </w:t>
      </w:r>
    </w:p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</w:pP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Przewiduje się, że dofinansowanie niniejszego projektu wpłynie na rachunek bankowy Gminy w 2021 roku, nat</w:t>
      </w: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omiast w 2020 roku zrealizowana została część prac, za które Gmina Kłomnice musi dokonać płatności na rzecz Wykonawcy robót jeszcze w 2020 roku. W związku z powyższym zaplanowano zaciągniecie kredytu na poczet realizowanych wydatków majątkowych w wysokości</w:t>
      </w: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 xml:space="preserve"> 1.000.000 zł i uregulowanie należności wobec Wykonawcy robót. Przewiduje się, że w momencie wpływu dotacji, w 2021 roku, niniejsze zobowiązanie zostanie spłacone. W związku z powyższym, w Wieloletniej Prognozie Finansowej Gminy Kłomnice na lata 2021-2030 </w:t>
      </w: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 xml:space="preserve">w roku 2021 w pozycji 5.1.1.1. zaplanowano spłatę niniejszego kredytu i spłatę odsetek, podlegające wyłączeniu, zgodnie z art. 243 ust. 3 ustawy o finansach publicznych (Dz.U. z 2019r., poz. 869 z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. zm.). Przewiduje się, że władze gminy Kłomnice dokona</w:t>
      </w:r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ją spłaty zobowiązania niezwłocznie po otrzymaniu  środków z dofinansowania projektu</w:t>
      </w:r>
      <w:bookmarkStart w:id="1" w:name="_dx_frag_EndFragment"/>
      <w:bookmarkEnd w:id="1"/>
      <w:r>
        <w:rPr>
          <w:rFonts w:ascii="Arial" w:hAnsi="Arial"/>
          <w:color w:val="222222"/>
          <w:szCs w:val="20"/>
          <w:shd w:val="clear" w:color="auto" w:fill="FFFFFF"/>
          <w:lang w:val="x-none" w:eastAsia="en-US" w:bidi="ar-SA"/>
        </w:rPr>
        <w:t>.</w:t>
      </w:r>
    </w:p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Cs w:val="20"/>
          <w:shd w:val="clear" w:color="auto" w:fill="FFFFFF"/>
          <w:lang w:val="x-none" w:eastAsia="en-US" w:bidi="ar-SA"/>
        </w:rPr>
        <w:t>7. Relacja z art. 243 ustawy o finansach publicznych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Zgodnie z art. 243 ust. 1 ustawy z dnia 27 sierpnia 2009 r. o finansach publicznych (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. Dz. U. z 2019 r. poz. 869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z 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. zm.) od 1 stycznia 2014 r. obowiązuje indywidualny wskaźnik zadłużenia dla samorządów. Według przepisów roczna wartość spłat zobowiązań i ich obsługi do planowanych dochodów bieżących pomniejszonych o dotacje i środki przeznaczone na cele bieżące 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ie może przekroczyć wskaźnika maksymalnej obsługi zadłużenia uwzględniającego wyłączenia wskazane w art. 243 ust. 3, 3a oraz 3b powyższej ustawy.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lastRenderedPageBreak/>
        <w:t>Od 1 stycznia 2020 r. wskaźnik faktycznej obsługi zadłużenia został uzupełniony o umowy, które wywołują skutki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ekonomiczne podobne do kredytu, pożyczki, depozytu czy emisji papierów wartościowych (zaciągnięte po 1 stycznia 2019 roku). Włączenie do wskaźnika obsługi zadłużenia ww. umów dotyczy zarówno spłaty rat, jak również wydatków bieżących na ich obsługę (odset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ki, prowizje, opłaty).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Natomiast na podstawie art. 15zob ust. 2 ustawy z dnia 2 marca 2020 r. o szczególnych rozwiązaniach związanych z zapobieganiem, przeciwdziałaniem i zwalczaniem COVID-19, innych chorób zakaźnych oraz wywołanych nimi sytuacji kryzysowy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ch, ustalając relację ograniczającą wysokość spłaty długu JST:</w:t>
      </w:r>
    </w:p>
    <w:p w:rsidR="002E041A" w:rsidRDefault="006C2776">
      <w:pPr>
        <w:numPr>
          <w:ilvl w:val="0"/>
          <w:numId w:val="6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 lata 2020-2025 wydatki bieżące budżetu tej jednostki podlegają pomniejszeniu o wydatki bieżące na obsługę długu;</w:t>
      </w:r>
    </w:p>
    <w:p w:rsidR="002E041A" w:rsidRDefault="006C2776">
      <w:pPr>
        <w:numPr>
          <w:ilvl w:val="0"/>
          <w:numId w:val="6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 rok 2021 i lata kolejne wydatki bieżące budżetu tej jednostki podlegają po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mniejszeniu o wydatki bieżące poniesione w 2020 r. w celu realizacji zadań związanych z przeciwdziałaniem COVID-19.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Kształt indywidualnego wskaźnika obsługi zadłużenia został obliczony zgodnie z wytycznymi dla okresów dostosowawczych, tj.:</w:t>
      </w:r>
    </w:p>
    <w:p w:rsidR="002E041A" w:rsidRDefault="006C2776">
      <w:pPr>
        <w:numPr>
          <w:ilvl w:val="0"/>
          <w:numId w:val="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 lata 2020-202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5 w oparciu o art. 9 ust. 1 ustawy z dnia 14 grudnia 2018 r. o zmianie ustawy o finansach publicznych oraz niektórych innych ustaw;</w:t>
      </w:r>
    </w:p>
    <w:p w:rsidR="002E041A" w:rsidRDefault="006C2776">
      <w:pPr>
        <w:numPr>
          <w:ilvl w:val="0"/>
          <w:numId w:val="7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od roku 2026 w oparciu o art. 9 ust. 2 ustawy z dnia 14 grudnia 2018 r. o zmianie ustawy o finansach publicznych oraz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niektórych innych ustaw.</w:t>
      </w:r>
    </w:p>
    <w:p w:rsidR="002E041A" w:rsidRDefault="006C277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108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br w:type="page"/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Tabela 8. Kształtowanie się relacji z art. 243 </w:t>
      </w:r>
      <w:proofErr w:type="spellStart"/>
      <w:r>
        <w:rPr>
          <w:rFonts w:ascii="Arial" w:hAnsi="Arial"/>
          <w:b/>
          <w:color w:val="000000"/>
          <w:sz w:val="18"/>
          <w:szCs w:val="20"/>
          <w:shd w:val="clear" w:color="auto" w:fill="FFFFFF"/>
          <w:lang w:val="x-none" w:eastAsia="en-US" w:bidi="ar-SA"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1304"/>
        <w:gridCol w:w="1305"/>
        <w:gridCol w:w="1305"/>
        <w:gridCol w:w="1305"/>
        <w:gridCol w:w="1305"/>
      </w:tblGrid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2025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Obsługa zadłużenia (fakt. i plan. po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wyłączeniach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6,68%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6,46%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7,97%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7,63%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8,09%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Maksymalna obsługa zadłużenia (wg planu po III kwartale 2020)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11,45%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9,19%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8,41%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9,50%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10,46%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Maksymalna obsługa zadłużenia (wg przewidywanego wykonania 2020)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11,54%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9,28%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8,50%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9,50%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10,46%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Zachowanie relacji z art. 243 (w oparciu o przewidywane wykonanie)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</w:tcPr>
          <w:p w:rsidR="002E041A" w:rsidRDefault="002E04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2030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Obsługa 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 xml:space="preserve">zadłużenia (fakt. i plan. po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wyłączeniach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5,62%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6,07%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3,02%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2,96%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0,73%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Maksymalna obsługa zadłużenia (wg planu po III kwartale 2020)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9,79%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9,69%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10,43%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11,00%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11,31%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Maksymalna obsługa zadłużenia (wg przewidywanego wykonania 2020)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9,83%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9,73%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10,43%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11,00%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11,31%</w:t>
            </w:r>
          </w:p>
        </w:tc>
      </w:tr>
      <w:tr w:rsidR="002E041A">
        <w:trPr>
          <w:trHeight w:val="28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Zachowanie relacji z art. 243 (w oparciu o przewidywane wykonanie)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041A" w:rsidRDefault="006C27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Tak</w:t>
            </w:r>
          </w:p>
        </w:tc>
      </w:tr>
    </w:tbl>
    <w:p w:rsidR="002E041A" w:rsidRDefault="002E0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16"/>
          <w:szCs w:val="20"/>
          <w:shd w:val="clear" w:color="auto" w:fill="FFFFFF"/>
          <w:lang w:val="x-none" w:eastAsia="en-US" w:bidi="ar-SA"/>
        </w:rPr>
        <w:t>Źródło: Opracowanie własne.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Graficzne przedstawienie relacji prezentuje wykres poniżej.</w:t>
      </w:r>
    </w:p>
    <w:p w:rsidR="002E041A" w:rsidRDefault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972175" cy="3495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466012" name="Picture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41A" w:rsidRDefault="006C2776" w:rsidP="006C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Sytuacja Gminy Kłomnice jest stabilna. W 2018 roku wysokość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nadwyżki operacyjnej wynosiła prawie 4,9 mln zł, a w 2019 roku wykonano ją na poziomie 4,5 mln zł. Plan na 2020 r. przewiduje nadwyżkę na poziomie 1,8 mln zł, zaś w budżecie na 2021 r. ujęto ją na poziomie 2,6 mln zł. W latach prognozy, ze względu na podej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ście ostrożnościowe, zaplanowano jej średnioroczny wzrost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lastRenderedPageBreak/>
        <w:t>na poziomie 400 tys. zł, co sprawia, że prognoza ta ma charakter realistyczny. Na dobrym poziomie kształtuje się również wskaźnik z art. 243 ustawy o finansach publicznych, który corocznie pozwala n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a zachowanie optymalnej różnicy między maksymalną a faktyczną obsługą zadłużenia. Sytuacja finansowa Gminy Kłomnice jest na bieżąco monitorowana.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2E041A">
      <w:footerReference w:type="default" r:id="rId1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2776">
      <w:r>
        <w:separator/>
      </w:r>
    </w:p>
  </w:endnote>
  <w:endnote w:type="continuationSeparator" w:id="0">
    <w:p w:rsidR="00000000" w:rsidRDefault="006C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76" w:rsidRDefault="006C2776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2E041A" w:rsidTr="006C2776">
      <w:tc>
        <w:tcPr>
          <w:tcW w:w="641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2E041A" w:rsidRDefault="002E041A">
          <w:pPr>
            <w:jc w:val="left"/>
            <w:rPr>
              <w:sz w:val="18"/>
            </w:rPr>
          </w:pPr>
        </w:p>
      </w:tc>
      <w:tc>
        <w:tcPr>
          <w:tcW w:w="32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2E041A" w:rsidRDefault="002E041A">
          <w:pPr>
            <w:jc w:val="right"/>
            <w:rPr>
              <w:sz w:val="18"/>
            </w:rPr>
          </w:pPr>
        </w:p>
      </w:tc>
    </w:tr>
  </w:tbl>
  <w:p w:rsidR="002E041A" w:rsidRDefault="002E04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2776">
      <w:r>
        <w:separator/>
      </w:r>
    </w:p>
  </w:footnote>
  <w:footnote w:type="continuationSeparator" w:id="0">
    <w:p w:rsidR="00000000" w:rsidRDefault="006C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Arial" w:hAnsi="Arial"/>
        <w:b w:val="0"/>
        <w:i w:val="0"/>
        <w:strike w:val="0"/>
        <w:color w:val="auto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E041A"/>
    <w:rsid w:val="006C277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B7224-4B32-43D0-884B-C4CA2B2E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C2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277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C2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277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3646</Words>
  <Characters>21877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206/XXV/2020 z dnia 30 grudnia 2020 r.</vt:lpstr>
      <vt:lpstr/>
    </vt:vector>
  </TitlesOfParts>
  <Company>Rada Gminy Kłomnice</Company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206/XXV/2020 z dnia 30 grudnia 2020 r.</dc:title>
  <dc:subject>w sprawie Wieloletniej Prognozy Finansowej Gminy Kłomnice na lata 2021-2030.</dc:subject>
  <dc:creator>ewilk</dc:creator>
  <cp:lastModifiedBy>Paweł Wysocki</cp:lastModifiedBy>
  <cp:revision>2</cp:revision>
  <dcterms:created xsi:type="dcterms:W3CDTF">2021-03-04T08:51:00Z</dcterms:created>
  <dcterms:modified xsi:type="dcterms:W3CDTF">2021-03-04T08:51:00Z</dcterms:modified>
  <cp:category>Akt prawny</cp:category>
</cp:coreProperties>
</file>