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5B160B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EF5748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  <w:bookmarkStart w:id="0" w:name="_GoBack"/>
            <w:bookmarkEnd w:id="0"/>
            <w:r>
              <w:rPr>
                <w:b/>
                <w:i/>
                <w:sz w:val="20"/>
                <w:u w:val="thick"/>
              </w:rPr>
              <w:t>Projekt</w:t>
            </w:r>
          </w:p>
          <w:p w:rsidR="00A77B3E" w:rsidRDefault="00A77B3E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</w:p>
          <w:p w:rsidR="00A77B3E" w:rsidRDefault="00EF5748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>z dnia  18 grudnia 2020 r.</w:t>
            </w:r>
          </w:p>
          <w:p w:rsidR="00A77B3E" w:rsidRDefault="00EF5748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>Zatwierdzony przez .........................</w:t>
            </w:r>
          </w:p>
          <w:p w:rsidR="00A77B3E" w:rsidRDefault="00A77B3E">
            <w:pPr>
              <w:ind w:left="5669"/>
              <w:jc w:val="left"/>
              <w:rPr>
                <w:sz w:val="20"/>
              </w:rPr>
            </w:pPr>
          </w:p>
          <w:p w:rsidR="00A77B3E" w:rsidRDefault="00A77B3E">
            <w:pPr>
              <w:ind w:left="5669"/>
              <w:jc w:val="left"/>
              <w:rPr>
                <w:sz w:val="20"/>
              </w:rPr>
            </w:pPr>
          </w:p>
        </w:tc>
      </w:tr>
    </w:tbl>
    <w:p w:rsidR="00A77B3E" w:rsidRDefault="00A77B3E"/>
    <w:p w:rsidR="00A77B3E" w:rsidRDefault="00EF5748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Gminy Kłomnice</w:t>
      </w:r>
    </w:p>
    <w:p w:rsidR="00A77B3E" w:rsidRDefault="00EF5748">
      <w:pPr>
        <w:spacing w:before="280" w:after="280"/>
        <w:jc w:val="center"/>
        <w:rPr>
          <w:b/>
          <w:caps/>
        </w:rPr>
      </w:pPr>
      <w:r>
        <w:t>z dnia .................... 2020 r.</w:t>
      </w:r>
    </w:p>
    <w:p w:rsidR="00A77B3E" w:rsidRDefault="00EF5748">
      <w:pPr>
        <w:keepNext/>
        <w:spacing w:after="480"/>
        <w:jc w:val="center"/>
      </w:pPr>
      <w:r>
        <w:rPr>
          <w:b/>
        </w:rPr>
        <w:t xml:space="preserve">w sprawie zasad wynajmowania lokali wchodzących w skład mieszkaniowego zasobu </w:t>
      </w:r>
      <w:r>
        <w:rPr>
          <w:b/>
        </w:rPr>
        <w:t>Gminy Kłomnice</w:t>
      </w:r>
    </w:p>
    <w:p w:rsidR="00A77B3E" w:rsidRDefault="00EF5748">
      <w:pPr>
        <w:keepLines/>
        <w:spacing w:before="120" w:after="120"/>
        <w:ind w:firstLine="227"/>
      </w:pPr>
      <w:r>
        <w:t>Na podstawie Na podstawie art.18 ust. 2 pkt 15, art. 40 ust.1, art 41 ust. 1 i art. 42 ustawy z dnia 08 marca 1990r. o samorządzie gminnym (t.j. Dz.U. z 2020 r. poz. 713 z późn.zm. )i art. 21 ust. 1 pkt 2 i ust. 3 ustawy z dnia 21 czerwca 20</w:t>
      </w:r>
      <w:r>
        <w:t>01 r. o ochronie praw lokatorów, mieszkaniowym zasobie gminy i o zmianie Kodeksu cywilnego (t.j. Dz. U. z 2020r. poz. 611 z późn.zm.)</w:t>
      </w:r>
    </w:p>
    <w:p w:rsidR="00A77B3E" w:rsidRDefault="00EF5748">
      <w:pPr>
        <w:spacing w:before="120" w:after="120"/>
        <w:ind w:firstLine="227"/>
        <w:jc w:val="center"/>
      </w:pPr>
      <w:r>
        <w:t>Rada Gminy Kłomnice:</w:t>
      </w:r>
    </w:p>
    <w:p w:rsidR="00A77B3E" w:rsidRDefault="00EF5748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b/>
        </w:rPr>
        <w:t>uchwala:</w:t>
      </w:r>
    </w:p>
    <w:p w:rsidR="00A77B3E" w:rsidRDefault="00EF5748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 xml:space="preserve">Zasady wynajmowania lokali wchodzących w skład mieszkaniowego zasobu Gminy Kłomnice wg </w:t>
      </w:r>
      <w:r>
        <w:rPr>
          <w:color w:val="000000"/>
          <w:u w:color="000000"/>
        </w:rPr>
        <w:t>załącznika do niniejszej uchwały.</w:t>
      </w:r>
    </w:p>
    <w:p w:rsidR="00A77B3E" w:rsidRDefault="00EF5748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Wójtowi Gminy</w:t>
      </w:r>
    </w:p>
    <w:p w:rsidR="00A77B3E" w:rsidRDefault="00EF5748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Traci moc Uchwała Nr 154/XXVII/04 Rady Gminy w Kłomnicach z dnia 10 sierpnia 2004 r. w sprawie zasad wynajmowania lokali wchodzących w skład zasobu gminy</w:t>
      </w:r>
    </w:p>
    <w:p w:rsidR="00A77B3E" w:rsidRDefault="00EF5748">
      <w:pPr>
        <w:keepLines/>
        <w:spacing w:before="120" w:after="120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>
        <w:rPr>
          <w:b/>
        </w:rPr>
        <w:t>§ 4. </w:t>
      </w:r>
      <w:r>
        <w:rPr>
          <w:color w:val="000000"/>
          <w:u w:color="000000"/>
        </w:rPr>
        <w:t xml:space="preserve">Uchwała wchodzi w życie po upływie 14 dni od dnia ogłoszenia w Dzienniku Urzędowym Województwa </w:t>
      </w:r>
      <w:r>
        <w:rPr>
          <w:color w:val="000000"/>
          <w:u w:color="000000"/>
        </w:rPr>
        <w:t>Śląskiego.</w:t>
      </w:r>
    </w:p>
    <w:p w:rsidR="00A77B3E" w:rsidRDefault="00EF5748">
      <w:pPr>
        <w:keepNext/>
        <w:spacing w:before="120" w:after="120" w:line="360" w:lineRule="auto"/>
        <w:ind w:left="6021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uchwały Nr ....................</w:t>
      </w:r>
      <w:r>
        <w:rPr>
          <w:color w:val="000000"/>
          <w:u w:color="000000"/>
        </w:rPr>
        <w:br/>
        <w:t>Rady Gminy Kłomnice</w:t>
      </w:r>
      <w:r>
        <w:rPr>
          <w:color w:val="000000"/>
          <w:u w:color="000000"/>
        </w:rPr>
        <w:br/>
        <w:t>z dnia....................2020 r.</w:t>
      </w:r>
    </w:p>
    <w:p w:rsidR="00A77B3E" w:rsidRDefault="00EF5748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Zasady wynajmowania lokali wchodzących w skład mieszkaniowego zasobu Gminy Kłomnice</w:t>
      </w:r>
    </w:p>
    <w:p w:rsidR="00A77B3E" w:rsidRDefault="00EF5748">
      <w:pPr>
        <w:keepNext/>
        <w:jc w:val="center"/>
        <w:rPr>
          <w:color w:val="000000"/>
          <w:u w:color="000000"/>
        </w:rPr>
      </w:pPr>
      <w:r>
        <w:rPr>
          <w:b/>
        </w:rPr>
        <w:t>Rozdział 1.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Postanowienia ogólne</w:t>
      </w:r>
    </w:p>
    <w:p w:rsidR="00A77B3E" w:rsidRDefault="00EF5748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Określa się zasady wyn</w:t>
      </w:r>
      <w:r>
        <w:rPr>
          <w:color w:val="000000"/>
          <w:u w:color="000000"/>
        </w:rPr>
        <w:t>ajmowania lokali wchodzących w skład mieszkaniowego zasobu Gminy Kłomnice</w:t>
      </w:r>
    </w:p>
    <w:p w:rsidR="00A77B3E" w:rsidRDefault="00EF5748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Ilekroć w uchwale jest mowa o:</w:t>
      </w:r>
    </w:p>
    <w:p w:rsidR="00A77B3E" w:rsidRDefault="00EF5748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ustawie - należy przez to rozumieć ustawę z dnia 21 czerwca 2001 r. o ochronie praw lokatorów, mieszkaniowym zasobie gminy i o zmianie Kodeksu </w:t>
      </w:r>
      <w:r>
        <w:rPr>
          <w:color w:val="000000"/>
          <w:u w:color="000000"/>
        </w:rPr>
        <w:t>cywilnego,</w:t>
      </w:r>
    </w:p>
    <w:p w:rsidR="00A77B3E" w:rsidRDefault="00EF5748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Kodeksie cywilnym - należy przez to rozumieć ustawę z dnia 23 kwietnia 1964 r. Kodeks cywilny,</w:t>
      </w:r>
    </w:p>
    <w:p w:rsidR="00A77B3E" w:rsidRDefault="00EF5748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dochodzie - należy przez to rozumieć dochód w rozumieniu art. 3 ust. 3 ustawy z dnia 21 czerwca 2001 r. o dodatkach mieszkaniowych,</w:t>
      </w:r>
    </w:p>
    <w:p w:rsidR="00A77B3E" w:rsidRDefault="00EF5748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 xml:space="preserve">Gminie - </w:t>
      </w:r>
      <w:r>
        <w:rPr>
          <w:color w:val="000000"/>
          <w:u w:color="000000"/>
        </w:rPr>
        <w:t>należy przez to rozumieć Gminę Kłomnice,</w:t>
      </w:r>
    </w:p>
    <w:p w:rsidR="00A77B3E" w:rsidRDefault="00EF5748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najniższej emeryturze - należy przez to rozumieć kwotę najniższej emerytury brutto ogłoszoną na podstawie art. 94 ust. 2 ustawy z dnia 17 grudnia 1998 r. o emeryturach i rentach z Funduszu Ubezpieczeń Społecznych</w:t>
      </w:r>
      <w:r>
        <w:rPr>
          <w:color w:val="000000"/>
          <w:u w:color="000000"/>
        </w:rPr>
        <w:t>,</w:t>
      </w:r>
    </w:p>
    <w:p w:rsidR="00A77B3E" w:rsidRDefault="00EF5748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Wójcie - należy przez to rozumieć Wójta Gminy Kłomnice,</w:t>
      </w:r>
    </w:p>
    <w:p w:rsidR="00A77B3E" w:rsidRDefault="00EF5748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odszkodowaniu - należy przez to rozumieć odszkodowanie, o którym mowa w art. 18 ustawy z dnia 21 czerwca 2001 r. o ochronie praw lokatorów, mieszkaniowym zasobie gminy i o zmianie Kodeksu cywi</w:t>
      </w:r>
      <w:r>
        <w:rPr>
          <w:color w:val="000000"/>
          <w:u w:color="000000"/>
        </w:rPr>
        <w:t>lnego.</w:t>
      </w:r>
    </w:p>
    <w:p w:rsidR="00A77B3E" w:rsidRDefault="00EF5748">
      <w:pPr>
        <w:keepNext/>
        <w:jc w:val="center"/>
        <w:rPr>
          <w:color w:val="000000"/>
          <w:u w:color="000000"/>
        </w:rPr>
      </w:pPr>
      <w:r>
        <w:rPr>
          <w:b/>
        </w:rPr>
        <w:t>Rozdział 2.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Warunki zamieszkiwania kwalifikujące wnioskodawcę do ich poprawy</w:t>
      </w:r>
    </w:p>
    <w:p w:rsidR="00A77B3E" w:rsidRDefault="00EF5748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Za warunki zamieszkania kwalifikujące wnioskodawcę do ich poprawy uznaje się:</w:t>
      </w:r>
    </w:p>
    <w:p w:rsidR="00A77B3E" w:rsidRDefault="00EF5748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zamieszkiwanie w lokalu, w którym na członka wieloosobowego gospodarstwa domowego przy</w:t>
      </w:r>
      <w:r>
        <w:rPr>
          <w:color w:val="000000"/>
          <w:u w:color="000000"/>
        </w:rPr>
        <w:t>pada mniej niż 8 m</w:t>
      </w:r>
      <w:r>
        <w:rPr>
          <w:color w:val="000000"/>
          <w:u w:color="000000"/>
          <w:vertAlign w:val="superscript"/>
        </w:rPr>
        <w:t xml:space="preserve">2 </w:t>
      </w:r>
      <w:r>
        <w:rPr>
          <w:color w:val="000000"/>
          <w:u w:color="000000"/>
        </w:rPr>
        <w:t>powierzchni mieszkalnej, a w przypadku jednoosobowego gospodarstwa domowego mniej niż 12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tej powierzchni, lub</w:t>
      </w:r>
    </w:p>
    <w:p w:rsidR="00A77B3E" w:rsidRDefault="00EF5748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zamieszkiwanie w lokalu niedostosowanym do potrzeb osób niepełnosprawnych lub potrzeb wynikających z warunków zdrowotnyc</w:t>
      </w:r>
      <w:r>
        <w:rPr>
          <w:color w:val="000000"/>
          <w:u w:color="000000"/>
        </w:rPr>
        <w:t>h, rodzinnych i społecznych, w szczególności zamieszkiwanie w lokalu, który ze względu na położenie budynku (kondygnację) albo wyposażenie techniczne nie jest odpowiedni dla najemcy lub osób wspólnie z nim zamieszkujących z powodu podeszłego wieku, schorze</w:t>
      </w:r>
      <w:r>
        <w:rPr>
          <w:color w:val="000000"/>
          <w:u w:color="000000"/>
        </w:rPr>
        <w:t>ń narządów ruchu lub niepełnosprawności w stopniu znacznym w rozumieniu ustawy z dnia 27 sierpnia 1997 r. o rehabilitacji zawodowej i społecznej oraz zatrudnianiu osób niepełnosprawnych.</w:t>
      </w:r>
    </w:p>
    <w:p w:rsidR="00A77B3E" w:rsidRDefault="00EF5748">
      <w:pPr>
        <w:keepNext/>
        <w:jc w:val="center"/>
        <w:rPr>
          <w:color w:val="000000"/>
          <w:u w:color="000000"/>
        </w:rPr>
      </w:pPr>
      <w:r>
        <w:rPr>
          <w:b/>
        </w:rPr>
        <w:t>Rozdział 3.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Lokale mieszkalne wynajmowane na czas nieoznaczony</w:t>
      </w:r>
    </w:p>
    <w:p w:rsidR="00A77B3E" w:rsidRDefault="00EF5748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4. </w:t>
      </w:r>
      <w:r>
        <w:t>1</w:t>
      </w:r>
      <w:r>
        <w:t>. </w:t>
      </w:r>
      <w:r>
        <w:rPr>
          <w:color w:val="000000"/>
          <w:u w:color="000000"/>
        </w:rPr>
        <w:t>O najem lub podnajem lokalu mieszkalnego na czas nieoznaczony za opłatą czynszu ustalonego Zarządzeniem Wójta Gminy zgodnie z postanowieniami art. 7 i art. 8 ustawy, mogą ubiegać się osoby, które są członkami wspólnoty samorządowej Gminy Kłomnice oraz kt</w:t>
      </w:r>
      <w:r>
        <w:rPr>
          <w:color w:val="000000"/>
          <w:u w:color="000000"/>
        </w:rPr>
        <w:t>óre nie mają zaspokojonych potrzeb mieszkaniowych i osiągają średni miesięczny dochód na jednego członka gospodarstwa domowego nie przekraczający 200 % kwoty najniższej emerytury w gospodarstwie jednoosobowym i 175% tej kwoty w gospodarstwie wieloosobowym.</w:t>
      </w:r>
      <w:r>
        <w:rPr>
          <w:color w:val="000000"/>
          <w:u w:color="000000"/>
        </w:rPr>
        <w:t xml:space="preserve"> </w:t>
      </w:r>
    </w:p>
    <w:p w:rsidR="00A77B3E" w:rsidRDefault="00EF574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przypadku, gdy osoba ubiegająca się o najem lokalu mieszkalnego, lub członek jej gospodarstwa domowego posiada orzeczenie o niepełnosprawności w stopniu znacznym lub w stopniu umiarkowanym, a w przypadku małoletniego członka rodziny, który posiada o</w:t>
      </w:r>
      <w:r>
        <w:rPr>
          <w:color w:val="000000"/>
          <w:u w:color="000000"/>
        </w:rPr>
        <w:t>rzeczenie o niepełnosprawności ze wskazaniem o konieczności stałej lub długotrwałej opieki lub pomocy innej osoby w związku ze znacznie ograniczoną możliwością samodzielnej egzystencji oraz koniecznością stałego współudziału na co dzień opiekuna dziecka w </w:t>
      </w:r>
      <w:r>
        <w:rPr>
          <w:color w:val="000000"/>
          <w:u w:color="000000"/>
        </w:rPr>
        <w:t>procesie jego leczenia, rehabilitacji i edukacji, wysokość średniego miesięcznego dochodu na jednego członka gospodarstwa domowego nie może przekraczać 260 % kwoty najniższej emerytury w gospodarstwie jednoosobowym i 185 % tej kwoty w gospodarstwie wieloos</w:t>
      </w:r>
      <w:r>
        <w:rPr>
          <w:color w:val="000000"/>
          <w:u w:color="000000"/>
        </w:rPr>
        <w:t>obowym.</w:t>
      </w:r>
    </w:p>
    <w:p w:rsidR="00A77B3E" w:rsidRDefault="00EF5748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3. </w:t>
      </w:r>
      <w:r>
        <w:rPr>
          <w:color w:val="000000"/>
          <w:u w:color="000000"/>
        </w:rPr>
        <w:t>Wójt w szczególnie uzasadnionych przypadkach, może wskazać mieszkańców gminy Kłomnice, z którymi ma być zawarta umowa najmu lokalu wchodzącego w skład mieszkaniowego zasobu gminy ze względu na ich wyjątkowo trudną sytuacje mieszkaniową, rodzinną</w:t>
      </w:r>
      <w:r>
        <w:rPr>
          <w:color w:val="000000"/>
          <w:u w:color="000000"/>
        </w:rPr>
        <w:t xml:space="preserve"> lub zdrowotną potwierdzoną odpowiednimi dokumentami, a także osoby niebędące mieszkańcami Gminy Kłomnice niezbędne dla Gminy z uwagi na rodzaj wykonywanej pracy zawodowej lub posiadane kwalifikacje, bez względu na wysokość ich dochodów, po uzyskaniu pozyt</w:t>
      </w:r>
      <w:r>
        <w:rPr>
          <w:color w:val="000000"/>
          <w:u w:color="000000"/>
        </w:rPr>
        <w:t>ywnego stanowiska Opiniodawczej Komisji Mieszkaniowej.</w:t>
      </w:r>
    </w:p>
    <w:p w:rsidR="00A77B3E" w:rsidRDefault="00EF5748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Z osobami, których dochód po upływie okresu, na jaki została zawarta umowa najmu socjalnego lokalu, nie uzasadnia jej przedłużenia, może zostać zawarta umowa najmu tego lokalu na czas nieoznaczony z</w:t>
      </w:r>
      <w:r>
        <w:rPr>
          <w:color w:val="000000"/>
          <w:u w:color="000000"/>
        </w:rPr>
        <w:t>a opłatą  czynszu ustalonego Zarządzeniem Wójta Gminy w oparciu o art. 7 i art. 8 ustawy.</w:t>
      </w:r>
    </w:p>
    <w:p w:rsidR="00A77B3E" w:rsidRDefault="00EF5748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 xml:space="preserve">Umowa najmu może być zawarta z osobami zamieszkałymi w lokalu po rozwiązaniu umowy najmu z dotychczasowym najemcą, będącymi jego dziećmi, rodzicami, rodzeństwem, </w:t>
      </w:r>
      <w:r>
        <w:rPr>
          <w:color w:val="000000"/>
          <w:u w:color="000000"/>
        </w:rPr>
        <w:t>osobami przysposobionymi stale z nim zamieszkującymi, bez konieczności spełniania warunków, o których mowa w ust. 1 - chyba, że najemca zamieszkał w znajdującym się w tej samej lub pobliskiej miejscowości lokalu (domu), stanowiącym jego własność bądź uzysk</w:t>
      </w:r>
      <w:r>
        <w:rPr>
          <w:color w:val="000000"/>
          <w:u w:color="000000"/>
        </w:rPr>
        <w:t>anym na podstawie najmu albo spółdzielczego własnościowego lub lokatorskiego prawa do lokalu, a jego powierzchnia zapewnia tym osobom normy powierzchni pokoi, przysługujące zgodnie z § 3 pkt 1 niniejszej uchwały.</w:t>
      </w:r>
    </w:p>
    <w:p w:rsidR="00A77B3E" w:rsidRDefault="00EF5748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Umowa najmu może być zawarta z osobami d</w:t>
      </w:r>
      <w:r>
        <w:rPr>
          <w:color w:val="000000"/>
          <w:u w:color="000000"/>
        </w:rPr>
        <w:t>okonującymi zamiany lokali wchodzących w skład mieszkaniowego zasobu gminy na inne lokale, gdy jest to uzasadnione słusznymi interesami stron.</w:t>
      </w:r>
    </w:p>
    <w:p w:rsidR="00A77B3E" w:rsidRDefault="00EF5748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Pierwszeństwo zawarcia umowy najmu lokalu na czas nieoznaczony przysługuje osobom spełniającym warunki okreś</w:t>
      </w:r>
      <w:r>
        <w:rPr>
          <w:color w:val="000000"/>
          <w:u w:color="000000"/>
        </w:rPr>
        <w:t>lone w § 4 oraz jeden z poniższych warunków:</w:t>
      </w:r>
    </w:p>
    <w:p w:rsidR="00A77B3E" w:rsidRDefault="00EF5748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utraciły lokal wskutek zdarzeń, takich jak: pożar, powódź, klęska żywiołowa, katastrofa budowlana lub inne zdarzenie losowe,</w:t>
      </w:r>
    </w:p>
    <w:p w:rsidR="00A77B3E" w:rsidRDefault="00EF5748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zmuszone są opuścić lokal mieszkalny na skutek zagrożenia bezpieczeństwa, koniec</w:t>
      </w:r>
      <w:r>
        <w:rPr>
          <w:color w:val="000000"/>
          <w:u w:color="000000"/>
        </w:rPr>
        <w:t>zności dokonania rozbiórki bądź przebudowy budynku lub lokalu,</w:t>
      </w:r>
    </w:p>
    <w:p w:rsidR="00A77B3E" w:rsidRDefault="00EF5748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są wychowankami opuszczającymi w związku z uzyskaniem pełnoletności rodzinną pieczę zastępczą (rodzinny dom dziecka, rodzinę zastępczą), placówkę instytucjonalną pieczy zastępczej (placówkę </w:t>
      </w:r>
      <w:r>
        <w:rPr>
          <w:color w:val="000000"/>
          <w:u w:color="000000"/>
        </w:rPr>
        <w:t>opiekuńczo-wychowawczą socjalizacyjną, placówkę opiekuńczo-wychowawczą interwencyjną, regionalną placówkę opiekuńczo-terapeutyczną), a także specjalne ośrodki szkolno-wychowawcze, schroniska dla nieletnich oraz placówki resocjalizacyjne (młodzieżowy ośrode</w:t>
      </w:r>
      <w:r>
        <w:rPr>
          <w:color w:val="000000"/>
          <w:u w:color="000000"/>
        </w:rPr>
        <w:t>k wychowawczy, zakład poprawczy),</w:t>
      </w:r>
    </w:p>
    <w:p w:rsidR="00A77B3E" w:rsidRDefault="00EF5748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są niepełnosprawne w stopniu znacznym lub umiarkowanym bądź w przypadku, gdy członek rodziny posiada orzeczenie o niepełnosprawności ze wskazaniem konieczności stałej lub długotrwałej opieki lub pomocy innej osoby w zwi</w:t>
      </w:r>
      <w:r>
        <w:rPr>
          <w:color w:val="000000"/>
          <w:u w:color="000000"/>
        </w:rPr>
        <w:t>ązku ze znacznie ograniczoną możliwością samodzielnej egzystencji oraz wskazaniem konieczności stałego współudziału na co dzień opiekuna dziecka w procesie jego leczenia, rehabilitacji i edukacji,</w:t>
      </w:r>
    </w:p>
    <w:p w:rsidR="00A77B3E" w:rsidRDefault="00EF5748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tworzą rodzinę wielodzietną posiadającą troje i więcej d</w:t>
      </w:r>
      <w:r>
        <w:rPr>
          <w:color w:val="000000"/>
          <w:u w:color="000000"/>
        </w:rPr>
        <w:t>zieci</w:t>
      </w:r>
    </w:p>
    <w:p w:rsidR="00A77B3E" w:rsidRDefault="00EF5748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za którymi przemawiają szczególne względy społeczne wynikające z ich sytuacji życiowej spowodowanej przemocą w rodzinie lub potrzebą ochrony  macierzyństwa,</w:t>
      </w:r>
    </w:p>
    <w:p w:rsidR="00A77B3E" w:rsidRDefault="00EF5748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 xml:space="preserve">posiadają tytuł prawny do zamieszkiwania w budynkach podlegających rozbiórce w związku </w:t>
      </w:r>
      <w:r>
        <w:rPr>
          <w:color w:val="000000"/>
          <w:u w:color="000000"/>
        </w:rPr>
        <w:t>z inwestycjami gminy lub koniecznością przeprowadzenia remontu.</w:t>
      </w:r>
    </w:p>
    <w:p w:rsidR="00A77B3E" w:rsidRDefault="00EF5748">
      <w:pPr>
        <w:keepNext/>
        <w:jc w:val="center"/>
        <w:rPr>
          <w:color w:val="000000"/>
          <w:u w:color="000000"/>
        </w:rPr>
      </w:pPr>
      <w:r>
        <w:rPr>
          <w:b/>
        </w:rPr>
        <w:t>Rozdział 4.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Najem socjalny lokalu</w:t>
      </w:r>
    </w:p>
    <w:p w:rsidR="00A77B3E" w:rsidRDefault="00EF5748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6. </w:t>
      </w:r>
      <w:r>
        <w:t>1. </w:t>
      </w:r>
      <w:r>
        <w:rPr>
          <w:color w:val="000000"/>
          <w:u w:color="000000"/>
        </w:rPr>
        <w:t>O najem socjalny lokalu mogą ubiegać się osoby, które są członkami wspólnoty samorządowej gminy Kłomnice i osiągają średni miesięczny dochód na jedneg</w:t>
      </w:r>
      <w:r>
        <w:rPr>
          <w:color w:val="000000"/>
          <w:u w:color="000000"/>
        </w:rPr>
        <w:t xml:space="preserve">o członka gospodarstwa domowego nie przekraczający 75 % kwoty najniższej emerytury w gospodarstwie jednoosobowym i 50 % tej kwoty w gospodarstwie wieloosobowym. </w:t>
      </w:r>
    </w:p>
    <w:p w:rsidR="00A77B3E" w:rsidRDefault="00EF574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Dopuszcza się możliwość zawarcia na kolejny okres umowy najmu socjalnego lokalu z osobami u</w:t>
      </w:r>
      <w:r>
        <w:rPr>
          <w:color w:val="000000"/>
          <w:u w:color="000000"/>
        </w:rPr>
        <w:t>biegającymi się o zawarcie takiej umowy, jeżeli ich dochód nie przekracza o więcej niż 20 % wysokości progów dochodowych, o których mowa w ust. 1</w:t>
      </w:r>
    </w:p>
    <w:p w:rsidR="00A77B3E" w:rsidRDefault="00EF5748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3. </w:t>
      </w:r>
      <w:r>
        <w:rPr>
          <w:color w:val="000000"/>
          <w:u w:color="000000"/>
        </w:rPr>
        <w:t>Osoby zajmujące lokale mieszkalne na podstawie umowy najmu na czas nieokreślony w budynkach o obniżonym sta</w:t>
      </w:r>
      <w:r>
        <w:rPr>
          <w:color w:val="000000"/>
          <w:u w:color="000000"/>
        </w:rPr>
        <w:t>ndardzie mogą ubiegać się o zmianę umowy najmu na umowę najmu socjalnego lokalu w przypadku spełniania warunków określonych ust. 1.</w:t>
      </w:r>
    </w:p>
    <w:p w:rsidR="00A77B3E" w:rsidRDefault="00EF5748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Do zawarcia umowy najmu socjalnego lokalu mogą również zostać zakwalifikowane osoby, które spełniają warunki określone w </w:t>
      </w:r>
      <w:r>
        <w:rPr>
          <w:color w:val="000000"/>
          <w:u w:color="000000"/>
        </w:rPr>
        <w:t>ust. 1 oraz jeden z poniższych warunków:</w:t>
      </w:r>
    </w:p>
    <w:p w:rsidR="00A77B3E" w:rsidRDefault="00EF5748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nie posiadają zaspokojonych potrzeb mieszkaniowych,</w:t>
      </w:r>
    </w:p>
    <w:p w:rsidR="00A77B3E" w:rsidRDefault="00EF5748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są pozbawione możliwości zamieszkiwania w dotychczasowym miejscu, w szczególnie uzasadnionych przypadkach społecznych wynikających z ich sytuacji życiowej sp</w:t>
      </w:r>
      <w:r>
        <w:rPr>
          <w:color w:val="000000"/>
          <w:u w:color="000000"/>
        </w:rPr>
        <w:t>owodowanej przemocą w rodzinie, potrzebą ochrony macierzyństwa, itp.,</w:t>
      </w:r>
    </w:p>
    <w:p w:rsidR="00A77B3E" w:rsidRDefault="00EF5748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są wychowankami opuszczającymi w związku z uzyskaniem pełnoletności rodzinną pieczę zastępczą (rodzinny dom dziecka, rodzinę zastępczą), placówkę instytucjonalną pieczy zastępczej (pl</w:t>
      </w:r>
      <w:r>
        <w:rPr>
          <w:color w:val="000000"/>
          <w:u w:color="000000"/>
        </w:rPr>
        <w:t>acówkę opiekuńczo-wychowawczą socjalizacyjną, placówkę opiekuńczo-wychowawczą interwencyjną, regionalną placówkę opiekuńczo-terapeutyczną), a także specjalne ośrodki szkolno-wychowawcze, schroniska dla nieletnich oraz placówki resocjalizacyjne (młodzieżowy</w:t>
      </w:r>
      <w:r>
        <w:rPr>
          <w:color w:val="000000"/>
          <w:u w:color="000000"/>
        </w:rPr>
        <w:t xml:space="preserve"> ośrodek wychowawczy, zakład poprawczy),</w:t>
      </w:r>
    </w:p>
    <w:p w:rsidR="00A77B3E" w:rsidRDefault="00EF5748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są niepełnosprawne w stopniu znacznym lub umiarkowanym bądź w przypadku, gdy członek rodziny posiada orzeczenie o niepełnosprawności ze wskazaniem konieczności stałej lub długotrwałej opieki lub pomocy innej osob</w:t>
      </w:r>
      <w:r>
        <w:rPr>
          <w:color w:val="000000"/>
          <w:u w:color="000000"/>
        </w:rPr>
        <w:t>y w związku ze znacznie ograniczoną możliwością samodzielnej egzystencji oraz wskazaniem konieczności stałego współudziału na co dzień opiekuna dziecka w procesie jego leczenia, rehabilitacji i edukacji,</w:t>
      </w:r>
    </w:p>
    <w:p w:rsidR="00A77B3E" w:rsidRDefault="00EF5748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 xml:space="preserve">posiadają tytuł prawny lub uprawnienie do </w:t>
      </w:r>
      <w:r>
        <w:rPr>
          <w:color w:val="000000"/>
          <w:u w:color="000000"/>
        </w:rPr>
        <w:t>zamieszkiwania w lokalu, który zmuszone są opuścić na skutek zagrożenia bezpieczeństwa, konieczności przeprowadzenia remontu, dokonania rozbiórki bądź przebudowy lokalu lub budynku.</w:t>
      </w:r>
    </w:p>
    <w:p w:rsidR="00A77B3E" w:rsidRDefault="00EF5748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7. </w:t>
      </w:r>
      <w:r>
        <w:t>1. </w:t>
      </w:r>
      <w:r>
        <w:rPr>
          <w:color w:val="000000"/>
          <w:u w:color="000000"/>
        </w:rPr>
        <w:t xml:space="preserve">Pierwszeństwo zawarcia umowy najmu socjalnego lokalu przysługuje: </w:t>
      </w:r>
    </w:p>
    <w:p w:rsidR="00A77B3E" w:rsidRDefault="00EF5748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osobom, które utraciły lokal wskutek zdarzeń takich, jak: pożar, powódź, klęska żywiołowa, katastrofa budowlana lub inne zdarzenie losowe,</w:t>
      </w:r>
    </w:p>
    <w:p w:rsidR="00A77B3E" w:rsidRDefault="00EF5748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 przypadkach, gdy zamieszkiwanie w dotychczasowym lokalu stanowi zagrożenie dla zdrowia lub życia osoby,</w:t>
      </w:r>
    </w:p>
    <w:p w:rsidR="00A77B3E" w:rsidRDefault="00EF5748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</w:t>
      </w:r>
      <w:r>
        <w:rPr>
          <w:color w:val="000000"/>
          <w:u w:color="000000"/>
        </w:rPr>
        <w:t>sobom uprawnionym do zawarcia umowy najmu socjalnego lokalu na podstawie prawomocnego orzeczenia sądowego.</w:t>
      </w:r>
    </w:p>
    <w:p w:rsidR="00A77B3E" w:rsidRDefault="00EF5748">
      <w:pPr>
        <w:keepNext/>
        <w:jc w:val="center"/>
        <w:rPr>
          <w:color w:val="000000"/>
          <w:u w:color="000000"/>
        </w:rPr>
      </w:pPr>
      <w:r>
        <w:rPr>
          <w:b/>
        </w:rPr>
        <w:t>Rozdział 5.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Warunki dokonywania zamiany lokali wchodzących w skład mieszkaniowego zasobu gminy oraz zamiany pomiędzy najemcami lokali należących do t</w:t>
      </w:r>
      <w:r>
        <w:rPr>
          <w:b/>
          <w:color w:val="000000"/>
          <w:u w:color="000000"/>
        </w:rPr>
        <w:t>ego zasobu a osobami zajmującymi lokale w innych zasobach</w:t>
      </w:r>
    </w:p>
    <w:p w:rsidR="00A77B3E" w:rsidRDefault="00EF5748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8. </w:t>
      </w:r>
      <w:r>
        <w:t>1. </w:t>
      </w:r>
      <w:r>
        <w:rPr>
          <w:color w:val="000000"/>
          <w:u w:color="000000"/>
        </w:rPr>
        <w:t xml:space="preserve">Najemcy lokali wchodzących w skład mieszkaniowego zasobu gminy oraz najemcy mieszkań zakładowych lub byłych zakładowych mogą dokonywać zamiany zajmowanych przez siebie lokali, jak również </w:t>
      </w:r>
      <w:r>
        <w:rPr>
          <w:color w:val="000000"/>
          <w:u w:color="000000"/>
        </w:rPr>
        <w:t>zamiany tych lokali na lokale spółdzielcze, zajmowane przez członków spółdzielni mieszkaniowych, z którymi umowy najmu zawarte zostały na czas nieoznaczony.</w:t>
      </w:r>
    </w:p>
    <w:p w:rsidR="00A77B3E" w:rsidRDefault="00EF574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Jeżeli przedmiotem zamiany jest lokal wchodzący w skład mieszkaniowego zasobu gminy na lokal sta</w:t>
      </w:r>
      <w:r>
        <w:rPr>
          <w:color w:val="000000"/>
          <w:u w:color="000000"/>
        </w:rPr>
        <w:t xml:space="preserve">nowiący własność osób fizycznych lub lokal zajmowany na podstawie spółdzielczego własnościowego prawa do lokalu, dokonanie zamiany wymaga uprzedniego przeniesienia na rzecz najemcy lokalu wchodzącego w skład mieszkaniowego zasobu gminy prawa własności lub </w:t>
      </w:r>
      <w:r>
        <w:rPr>
          <w:color w:val="000000"/>
          <w:u w:color="000000"/>
        </w:rPr>
        <w:t>spółdzielczego własnościowego prawa do lokalu przysługujących osobie trzeciej, w drodze umowy zawartej w formie aktu notarialnego.</w:t>
      </w:r>
    </w:p>
    <w:p w:rsidR="00A77B3E" w:rsidRDefault="00EF5748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Zamiana lokali mieszkalnych pomiędzy najemcami polega na zawarciu umowy najmu lokali będących przedmiotem zamiany przez do</w:t>
      </w:r>
      <w:r>
        <w:rPr>
          <w:color w:val="000000"/>
          <w:u w:color="000000"/>
        </w:rPr>
        <w:t>tychczasowych najemców i wymaga zezwolenia właścicieli tych lokali na jej dokonanie.</w:t>
      </w:r>
    </w:p>
    <w:p w:rsidR="00A77B3E" w:rsidRDefault="00EF5748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Odmowa udzielenia zezwolenia na dokonanie zamiany lokalu, o której mowa w ust. 3 może nastąpić jedynie z ważnych powodów. Odmawia się zezwolenia, jeżeli:</w:t>
      </w:r>
    </w:p>
    <w:p w:rsidR="00A77B3E" w:rsidRDefault="00EF5748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 następstw</w:t>
      </w:r>
      <w:r>
        <w:rPr>
          <w:color w:val="000000"/>
          <w:u w:color="000000"/>
        </w:rPr>
        <w:t>ie dokonania zamiany zostałby wynajęty lokal, w którym na członka gospodarstwa domowego przypadałoby mniej niż 5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powierzchni mieszkalnej,</w:t>
      </w:r>
    </w:p>
    <w:p w:rsidR="00A77B3E" w:rsidRDefault="00EF5748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2) </w:t>
      </w:r>
      <w:r>
        <w:rPr>
          <w:color w:val="000000"/>
          <w:u w:color="000000"/>
        </w:rPr>
        <w:t>najemca lub jego małżonek posiada tytuł prawny do zajmowania więcej niż jednego lokalu (domu) mieszkalnego,</w:t>
      </w:r>
    </w:p>
    <w:p w:rsidR="00A77B3E" w:rsidRDefault="00EF5748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d</w:t>
      </w:r>
      <w:r>
        <w:rPr>
          <w:color w:val="000000"/>
          <w:u w:color="000000"/>
        </w:rPr>
        <w:t>okonujący zamiany zalegają z opłatą należności z tytułu czynszu najmu lub innych opłat związanych z użytkowaniem lokalu,</w:t>
      </w:r>
    </w:p>
    <w:p w:rsidR="00A77B3E" w:rsidRDefault="00EF5748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zajmowany lokal nie odpowiada wymogom technicznym określonym przepisami prawa budowlanego,</w:t>
      </w:r>
    </w:p>
    <w:p w:rsidR="00A77B3E" w:rsidRDefault="00EF5748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najemca dokonał samowolnej zamiany lok</w:t>
      </w:r>
      <w:r>
        <w:rPr>
          <w:color w:val="000000"/>
          <w:u w:color="000000"/>
        </w:rPr>
        <w:t>ali przed wyrażeniem na nią zgody,</w:t>
      </w:r>
    </w:p>
    <w:p w:rsidR="00A77B3E" w:rsidRDefault="00EF5748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najemca zajmuje lokal na podstawie umowy najmu zawartej na czas oznaczony, chyba że zachodzi przypadek, o którym mowa w ust. 5,</w:t>
      </w:r>
    </w:p>
    <w:p w:rsidR="00A77B3E" w:rsidRDefault="00EF5748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 xml:space="preserve">Wójt może zaproponować najemcy zamianę zajmowanego lokalu mieszkalnego na inny wolny </w:t>
      </w:r>
      <w:r>
        <w:rPr>
          <w:color w:val="000000"/>
          <w:u w:color="000000"/>
        </w:rPr>
        <w:t>lokal należący do mieszkaniowego zasobu gminy, o ile jest to konieczne dla prawidłowej realizacji gospodarki mieszkaniowym.</w:t>
      </w:r>
    </w:p>
    <w:p w:rsidR="00A77B3E" w:rsidRDefault="00EF5748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Zamiana lokali może również polegać na dostarczeniu przez gminę wolnego lokalu w zamian za lokal wchodzący w skład mieszkaniowego</w:t>
      </w:r>
      <w:r>
        <w:rPr>
          <w:color w:val="000000"/>
          <w:u w:color="000000"/>
        </w:rPr>
        <w:t xml:space="preserve"> zasobu gminy, dotychczas zajmowany przez najemcę, po spełnieniu jednego z wymienionych niżej warunków:</w:t>
      </w:r>
    </w:p>
    <w:p w:rsidR="00A77B3E" w:rsidRDefault="00EF5748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najemca zajmuje lokal nieprzystosowany pod względem wielkości, struktury i wyposażenia dla zamieszkałej w nim osoby niepełnosprawnej w stopniu znaczn</w:t>
      </w:r>
      <w:r>
        <w:rPr>
          <w:color w:val="000000"/>
          <w:u w:color="000000"/>
        </w:rPr>
        <w:t>ym lub umiarkowanym oraz w przypadku, gdy członek rodziny posiada orzeczenie o niepełnosprawności ze wskazaniem konieczności stałej lub długotrwałej opieki lub pomocy innej osoby w związku ze znacznie ograniczoną możliwością samodzielnej egzystencji oraz w</w:t>
      </w:r>
      <w:r>
        <w:rPr>
          <w:color w:val="000000"/>
          <w:u w:color="000000"/>
        </w:rPr>
        <w:t>skazaniem konieczności stałego współudziału na co dzień opiekuna dziecka w procesie jego leczenia, rehabilitacji i edukacji lub w skład ich rodzin wchodzą wyżej wymienione osoby,</w:t>
      </w:r>
    </w:p>
    <w:p w:rsidR="00A77B3E" w:rsidRDefault="00EF5748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najemca zajmuje lokal o powierzchni znacznie przekraczającej jego potrzeby</w:t>
      </w:r>
      <w:r>
        <w:rPr>
          <w:color w:val="000000"/>
          <w:u w:color="000000"/>
        </w:rPr>
        <w:t xml:space="preserve"> lub nie jest w stanie ponosić kosztów jego utrzymania i ubiega się o lokal o mniejszej powierzchni.</w:t>
      </w:r>
    </w:p>
    <w:p w:rsidR="00A77B3E" w:rsidRDefault="00EF5748">
      <w:pPr>
        <w:keepNext/>
        <w:jc w:val="center"/>
        <w:rPr>
          <w:color w:val="000000"/>
          <w:u w:color="000000"/>
        </w:rPr>
      </w:pPr>
      <w:r>
        <w:rPr>
          <w:b/>
        </w:rPr>
        <w:t>Rozdział 6.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Lokale o powierzchni użytkowej przekraczającej 80 m</w:t>
      </w:r>
      <w:r>
        <w:rPr>
          <w:b/>
          <w:color w:val="000000"/>
          <w:u w:color="000000"/>
          <w:vertAlign w:val="superscript"/>
        </w:rPr>
        <w:t xml:space="preserve">2  </w:t>
      </w:r>
    </w:p>
    <w:p w:rsidR="00A77B3E" w:rsidRDefault="00EF5748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9. </w:t>
      </w:r>
      <w:r>
        <w:rPr>
          <w:color w:val="000000"/>
          <w:u w:color="000000"/>
        </w:rPr>
        <w:t>Lokal o powierzchni użytkowej przekraczającej 80 m</w:t>
      </w:r>
      <w:r>
        <w:rPr>
          <w:color w:val="000000"/>
          <w:u w:color="000000"/>
          <w:vertAlign w:val="superscript"/>
        </w:rPr>
        <w:t xml:space="preserve">2 </w:t>
      </w:r>
      <w:r>
        <w:rPr>
          <w:color w:val="000000"/>
          <w:u w:color="000000"/>
        </w:rPr>
        <w:t>oddawany jest w najem osobie um</w:t>
      </w:r>
      <w:r>
        <w:rPr>
          <w:color w:val="000000"/>
          <w:u w:color="000000"/>
        </w:rPr>
        <w:t xml:space="preserve">ieszczonej na liście osób zakwalifikowanych do zawarcia umowy najmu na czas nieoznaczony lub liście osób oczekujących na najem socjalny lokalu, z uwzględnieniem pierwszeństwa na rzecz osób tworzących gospodarstwo domowe wieloosobowe. </w:t>
      </w:r>
    </w:p>
    <w:p w:rsidR="00A77B3E" w:rsidRDefault="00EF5748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7.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Zasady po</w:t>
      </w:r>
      <w:r>
        <w:rPr>
          <w:b/>
          <w:color w:val="000000"/>
          <w:u w:color="000000"/>
        </w:rPr>
        <w:t>stępowania w stosunku do osób, które pozostały w lokalu opuszczonym przez najemcę lub w lokalu, w którego najem nie wstąpiły po śmierci najemcy</w:t>
      </w:r>
    </w:p>
    <w:p w:rsidR="00A77B3E" w:rsidRDefault="00EF5748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10. </w:t>
      </w:r>
      <w:r>
        <w:t>1. </w:t>
      </w:r>
      <w:r>
        <w:rPr>
          <w:color w:val="000000"/>
          <w:u w:color="000000"/>
        </w:rPr>
        <w:t>W szczególnie uzasadnionych przypadkach Wójt może wyrazić zgodę na nawiązanie stosunku najmu lokalu z p</w:t>
      </w:r>
      <w:r>
        <w:rPr>
          <w:color w:val="000000"/>
          <w:u w:color="000000"/>
        </w:rPr>
        <w:t>ominięciem kolejności wynikającej z zamieszczenia wniosku na liście osób uprawnionych do zawarcia umowy najmu z osobami, które pozostały w lokalu opuszczonym przez dotychczasowego najemcę oraz z osobami zamieszkującymi w lokalu, w którego najem nie wstąpił</w:t>
      </w:r>
      <w:r>
        <w:rPr>
          <w:color w:val="000000"/>
          <w:u w:color="000000"/>
        </w:rPr>
        <w:t>y po śmierci najemcy, ponieważ nie należą do kręgu osób wymienionych w art. 691 kodeksu cywilnego, jednak spełniają łącznie następujące warunki:</w:t>
      </w:r>
    </w:p>
    <w:p w:rsidR="00A77B3E" w:rsidRDefault="00EF5748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są osobami bliskimi najemcy w rozumieniu art. 4 pkt 13 ustawy z dnia 21 sierpnia 1997 roku o gospodarce nier</w:t>
      </w:r>
      <w:r>
        <w:rPr>
          <w:color w:val="000000"/>
          <w:u w:color="000000"/>
        </w:rPr>
        <w:t>uchomościami i umieszczonymi na listach osób uprawnionych, zakwalifikowanymi do zawarcia umowy najmu oraz spełniającymi warunki określone w § 4 ust. 1 lub 2, lub § 14 ust. 2 uchwały,</w:t>
      </w:r>
    </w:p>
    <w:p w:rsidR="00A77B3E" w:rsidRDefault="00EF5748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lokal nie jest zadłużony, zaś osoby w nim zamieszkujące uiszczają na b</w:t>
      </w:r>
      <w:r>
        <w:rPr>
          <w:color w:val="000000"/>
          <w:u w:color="000000"/>
        </w:rPr>
        <w:t>ieżąco wszelkie opłaty związane z używaniem zajmowanego lokalu, w szczególności opłaty, o których mowa § 11 ust. 2 pkt 2 ustawy,</w:t>
      </w:r>
    </w:p>
    <w:p w:rsidR="00A77B3E" w:rsidRDefault="00EF5748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zamieszkiwały z najemcą przez co najmniej trzy ostatnie lata i nie posiadają tytułu prawnego do innego lokalu mieszkalnego.</w:t>
      </w:r>
    </w:p>
    <w:p w:rsidR="00A77B3E" w:rsidRDefault="00EF574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Postanowienia ust. 1 stosuje się także do osób, którym sąd prawomocnym orzeczeniem nakazał opróżnienie lokalu, jeżeli spłaciły one wszelkie zobowiązania z tytułu opłat związanych z używaniem lokalu oraz wszystkie koszty sądowe związane z postępowaniem o</w:t>
      </w:r>
      <w:r>
        <w:rPr>
          <w:color w:val="000000"/>
          <w:u w:color="000000"/>
        </w:rPr>
        <w:t> opróżnienie lokalu, o ile osoby te nadal zamieszkują w tym lokalu.</w:t>
      </w:r>
    </w:p>
    <w:p w:rsidR="00A77B3E" w:rsidRDefault="00EF5748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lastRenderedPageBreak/>
        <w:t>Rozdział 8.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Wysokość dochodu gospodarstwa domowego uzasadniająca zastosowanie obniżek czynszów</w:t>
      </w:r>
    </w:p>
    <w:p w:rsidR="00A77B3E" w:rsidRDefault="00EF5748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11. </w:t>
      </w:r>
      <w:r>
        <w:rPr>
          <w:color w:val="000000"/>
          <w:u w:color="000000"/>
        </w:rPr>
        <w:t>Wysokość czynszu dla lokali mieszkalnych może zostać obniżona w przypadku, gdy średni m</w:t>
      </w:r>
      <w:r>
        <w:rPr>
          <w:color w:val="000000"/>
          <w:u w:color="000000"/>
        </w:rPr>
        <w:t>iesięczny dochód z okresu 3 ostatnich miesięcy poprzedzających dzień złożenia wniosku o obniżenie czynszu, przypadający na członka gospodarstwa domowego, nie przekracza:</w:t>
      </w:r>
    </w:p>
    <w:p w:rsidR="00A77B3E" w:rsidRDefault="00EF5748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75 % najniższej emerytury w gospodarstwie jednoosobowym,</w:t>
      </w:r>
    </w:p>
    <w:p w:rsidR="00A77B3E" w:rsidRDefault="00EF5748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50 % najniższej </w:t>
      </w:r>
      <w:r>
        <w:rPr>
          <w:color w:val="000000"/>
          <w:u w:color="000000"/>
        </w:rPr>
        <w:t>emerytury w gospodarstwie wieloosobowym.</w:t>
      </w:r>
    </w:p>
    <w:p w:rsidR="00A77B3E" w:rsidRDefault="00EF5748">
      <w:pPr>
        <w:keepNext/>
        <w:jc w:val="center"/>
        <w:rPr>
          <w:color w:val="000000"/>
          <w:u w:color="000000"/>
        </w:rPr>
      </w:pPr>
      <w:r>
        <w:rPr>
          <w:b/>
        </w:rPr>
        <w:t>Rozdział 9.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Przywrócenie tytułu prawnego do zajmowanego lokalu mieszkalnego</w:t>
      </w:r>
    </w:p>
    <w:p w:rsidR="00A77B3E" w:rsidRDefault="00EF5748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12. </w:t>
      </w:r>
      <w:r>
        <w:rPr>
          <w:color w:val="000000"/>
          <w:u w:color="000000"/>
        </w:rPr>
        <w:t>Gmina na wniosek strony może wyrazić zgodę na ponowne nawiązanie stosunku najmu z osobą, która utraciła tytuł prawny do lokalu na pod</w:t>
      </w:r>
      <w:r>
        <w:rPr>
          <w:color w:val="000000"/>
          <w:u w:color="000000"/>
        </w:rPr>
        <w:t>stawie art. 11 ust. 2 pkt 2 ustawy lub z innej przyczyny - zarówno przed, jak i po orzeczeniu przez sąd eksmisji wobec tej osoby - pod warunkiem, że:</w:t>
      </w:r>
    </w:p>
    <w:p w:rsidR="00A77B3E" w:rsidRDefault="00EF5748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uregulowała wszelkie ciążące na niej zobowiązania, w tym czynszowe lub odszkodowanie za bezumowne korzy</w:t>
      </w:r>
      <w:r>
        <w:rPr>
          <w:color w:val="000000"/>
          <w:u w:color="000000"/>
        </w:rPr>
        <w:t>stanie z lokalu wraz z odsetkami oraz koszty procesu lub eksmisji,</w:t>
      </w:r>
    </w:p>
    <w:p w:rsidR="00A77B3E" w:rsidRDefault="00EF5748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wnioskodawca, ani jego małżonek, ani osoba, z którą faktycznie pozostaje we wspólnym pożyciu, nie posiada tytułu prawnego do innego lokalu mieszkalnego,</w:t>
      </w:r>
    </w:p>
    <w:p w:rsidR="00A77B3E" w:rsidRDefault="00EF5748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nie istnieją inne przyczyny ro</w:t>
      </w:r>
      <w:r>
        <w:rPr>
          <w:color w:val="000000"/>
          <w:u w:color="000000"/>
        </w:rPr>
        <w:t>związania umowy najmu lub orzeczenia eksmisji.</w:t>
      </w:r>
    </w:p>
    <w:p w:rsidR="00A77B3E" w:rsidRDefault="00EF5748">
      <w:pPr>
        <w:keepNext/>
        <w:jc w:val="center"/>
        <w:rPr>
          <w:color w:val="000000"/>
          <w:u w:color="000000"/>
        </w:rPr>
      </w:pPr>
      <w:r>
        <w:rPr>
          <w:b/>
        </w:rPr>
        <w:t>Rozdział 10.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Lokale zamienne</w:t>
      </w:r>
    </w:p>
    <w:p w:rsidR="00A77B3E" w:rsidRDefault="00EF5748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13. </w:t>
      </w:r>
      <w:r>
        <w:rPr>
          <w:color w:val="000000"/>
          <w:u w:color="000000"/>
        </w:rPr>
        <w:t>Gmina zapewnia możliwość wynajęcia lokalu zamiennego najemcom lokali gminnych, w przypadku:</w:t>
      </w:r>
    </w:p>
    <w:p w:rsidR="00A77B3E" w:rsidRDefault="00EF5748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przeznaczenia budynku lub lokalu do rozbiórki,</w:t>
      </w:r>
    </w:p>
    <w:p w:rsidR="00A77B3E" w:rsidRDefault="00EF5748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uznania lokalu za nienadający</w:t>
      </w:r>
      <w:r>
        <w:rPr>
          <w:color w:val="000000"/>
          <w:u w:color="000000"/>
        </w:rPr>
        <w:t xml:space="preserve"> się na stały pobyt ludzi, jeżeli stan techniczny nie wynika z niewłaściwego użytkowania,</w:t>
      </w:r>
    </w:p>
    <w:p w:rsidR="00A77B3E" w:rsidRDefault="00EF5748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zmiany funkcji lokalu lub budynku,</w:t>
      </w:r>
    </w:p>
    <w:p w:rsidR="00A77B3E" w:rsidRDefault="00EF5748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przeznaczenia do zbycia w drodze przetargu nieruchomości gruntowej zabudowanej, w której znajdują się lokale należące do mies</w:t>
      </w:r>
      <w:r>
        <w:rPr>
          <w:color w:val="000000"/>
          <w:u w:color="000000"/>
        </w:rPr>
        <w:t>zkaniowego zasobu Gminy.</w:t>
      </w:r>
    </w:p>
    <w:p w:rsidR="00A77B3E" w:rsidRDefault="00EF5748">
      <w:pPr>
        <w:keepNext/>
        <w:jc w:val="center"/>
        <w:rPr>
          <w:color w:val="000000"/>
          <w:u w:color="000000"/>
        </w:rPr>
      </w:pPr>
      <w:r>
        <w:rPr>
          <w:b/>
        </w:rPr>
        <w:t>Rozdział 11.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Tymczasowe pomieszczenia</w:t>
      </w:r>
    </w:p>
    <w:p w:rsidR="00A77B3E" w:rsidRDefault="00EF5748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15. </w:t>
      </w:r>
      <w:r>
        <w:t>1. </w:t>
      </w:r>
      <w:r>
        <w:rPr>
          <w:color w:val="000000"/>
          <w:u w:color="000000"/>
        </w:rPr>
        <w:t xml:space="preserve">Stawka czynszu najmu za tymczasowe pomieszczenia odpowiada stawce czynszu najmu socjalnego lokalu. </w:t>
      </w:r>
    </w:p>
    <w:p w:rsidR="00A77B3E" w:rsidRDefault="00EF574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Umowa najmu tymczasowego pomieszczenia można przedłużyć na następny okres, jeżeli</w:t>
      </w:r>
      <w:r>
        <w:rPr>
          <w:color w:val="000000"/>
          <w:u w:color="000000"/>
        </w:rPr>
        <w:t xml:space="preserve"> średni miesięczny dochód na jednego członka gospodarstwa domowego, w okresie 3 miesięcy poprzedzających datę złożenia wniosku o przedłużenie, nie przekracza 75 % najniższej emerytury w gospodarstwie jednoosobowym i 50 % w gospodarstwie wieloosobowym.</w:t>
      </w:r>
    </w:p>
    <w:p w:rsidR="00A77B3E" w:rsidRDefault="00EF5748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</w:t>
      </w:r>
      <w:r>
        <w:rPr>
          <w:b/>
        </w:rPr>
        <w:t>ział 12.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Warunki, jakie musi spełniać lokal wskazywany dla osób niepełnosprawnych</w:t>
      </w:r>
    </w:p>
    <w:p w:rsidR="00A77B3E" w:rsidRDefault="00EF5748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16. </w:t>
      </w:r>
      <w:r>
        <w:t>1. </w:t>
      </w:r>
      <w:r>
        <w:rPr>
          <w:color w:val="000000"/>
          <w:u w:color="000000"/>
        </w:rPr>
        <w:t>Lokale wchodzące w skład mieszkaniowego zasobu wskazywane dla osób z różnymi rodzajami niepełnosprawności powinny być dostosowane do ich indywidualnych potrzeb i rod</w:t>
      </w:r>
      <w:r>
        <w:rPr>
          <w:color w:val="000000"/>
          <w:u w:color="000000"/>
        </w:rPr>
        <w:t xml:space="preserve">zaju niepełnosprawności osoby uprawnionej, a ponadto powinny być dostosowane do wymagań określonych w powszechnie obowiązujących przepisach prawa. </w:t>
      </w:r>
    </w:p>
    <w:p w:rsidR="00A77B3E" w:rsidRDefault="00EF574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szczególności lokal powinien spełniać następujące warunki:</w:t>
      </w:r>
    </w:p>
    <w:p w:rsidR="00A77B3E" w:rsidRDefault="00EF5748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dojście do lokalu powinno umożliwiać osob</w:t>
      </w:r>
      <w:r>
        <w:rPr>
          <w:color w:val="000000"/>
          <w:u w:color="000000"/>
        </w:rPr>
        <w:t>ie niepełnosprawnej swobodne poruszanie się - w szczególności w odniesieniu do osób poruszających się na wózku inwalidzkim lub z inną niepełnosprawnością utrudniającą poruszanie się,</w:t>
      </w:r>
    </w:p>
    <w:p w:rsidR="00A77B3E" w:rsidRDefault="00EF5748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światło drzwi wejściowych do lokalu powinno wynosić minimum 90 cm w pr</w:t>
      </w:r>
      <w:r>
        <w:rPr>
          <w:color w:val="000000"/>
          <w:u w:color="000000"/>
        </w:rPr>
        <w:t>zypadku osób z niepełnosprawnością ruchową lub inną utrudniająca poruszanie się,</w:t>
      </w:r>
    </w:p>
    <w:p w:rsidR="00A77B3E" w:rsidRDefault="00EF5748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3) </w:t>
      </w:r>
      <w:r>
        <w:rPr>
          <w:color w:val="000000"/>
          <w:u w:color="000000"/>
        </w:rPr>
        <w:t>korytarze stanowiące komunikację wewnętrzną w lokalu powinny mieć szerokość w świetle, umożliwiającą swobodne poruszanie się osób na wózku inwalidzkim,</w:t>
      </w:r>
    </w:p>
    <w:p w:rsidR="00A77B3E" w:rsidRDefault="00EF5748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wysokość progów p</w:t>
      </w:r>
      <w:r>
        <w:rPr>
          <w:color w:val="000000"/>
          <w:u w:color="000000"/>
        </w:rPr>
        <w:t>owinna wynosić nie więcej niż 2 cm,</w:t>
      </w:r>
    </w:p>
    <w:p w:rsidR="00A77B3E" w:rsidRDefault="00EF5748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wysokość klamek i włączników powinna zapewniać swobodny dostęp dla osób poruszających się na wózku inwalidzkim,</w:t>
      </w:r>
    </w:p>
    <w:p w:rsidR="00A77B3E" w:rsidRDefault="00EF5748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w lokalu powinno znajdować się miejsce do zawracania wózkiem inwalidzkim o średnicy 150cm,</w:t>
      </w:r>
    </w:p>
    <w:p w:rsidR="00A77B3E" w:rsidRDefault="00EF5748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posiadać</w:t>
      </w:r>
      <w:r>
        <w:rPr>
          <w:color w:val="000000"/>
          <w:u w:color="000000"/>
        </w:rPr>
        <w:t xml:space="preserve"> kabinę prysznicową o szerokości zapewniającej swobodny wjazd wózkiem inwalidzkim,  pozbawioną brodzika i progów, ewentualnie podłoga w brodziku powinna mieć wykończenie antypoślizgowe, a w dodatkowym wyposażeniu winien znaleźć się specjalny stołek do kąpi</w:t>
      </w:r>
      <w:r>
        <w:rPr>
          <w:color w:val="000000"/>
          <w:u w:color="000000"/>
        </w:rPr>
        <w:t>eli oraz poręcze wspomagające wstawanie - w przypadku osób poruszających się na wózku  inwalidzkim,</w:t>
      </w:r>
    </w:p>
    <w:p w:rsidR="00A77B3E" w:rsidRDefault="00EF5748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posiadać sedes zamontowany na wysokości zapewniającej wygodne przesiadanie się z wózka inwalidzkiego wraz z poręczami wspomagającymi tę czynność,</w:t>
      </w:r>
    </w:p>
    <w:p w:rsidR="00A77B3E" w:rsidRDefault="00EF5748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posi</w:t>
      </w:r>
      <w:r>
        <w:rPr>
          <w:color w:val="000000"/>
          <w:u w:color="000000"/>
        </w:rPr>
        <w:t>adać umywalkę podwieszaną, mocowaną w ścianie lub blacie, pod którym jest wolna przestrzeń - w przypadku osób poruszających się na wózku  inwalidzkim.</w:t>
      </w:r>
    </w:p>
    <w:p w:rsidR="00A77B3E" w:rsidRDefault="00EF5748">
      <w:pPr>
        <w:keepNext/>
        <w:jc w:val="center"/>
        <w:rPr>
          <w:color w:val="000000"/>
          <w:u w:color="000000"/>
        </w:rPr>
      </w:pPr>
      <w:r>
        <w:rPr>
          <w:b/>
        </w:rPr>
        <w:t>Rozdział 13.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 xml:space="preserve">Zasady przeznaczenia lokali na realizację zadań z zakresu pomocy społecznej oraz wspierania </w:t>
      </w:r>
      <w:r>
        <w:rPr>
          <w:b/>
          <w:color w:val="000000"/>
          <w:u w:color="000000"/>
        </w:rPr>
        <w:t>rodziny i systemu pieczy zastępczej</w:t>
      </w:r>
    </w:p>
    <w:p w:rsidR="00A77B3E" w:rsidRDefault="00EF5748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17. </w:t>
      </w:r>
      <w:r>
        <w:t>1. </w:t>
      </w:r>
      <w:r>
        <w:rPr>
          <w:color w:val="000000"/>
          <w:u w:color="000000"/>
        </w:rPr>
        <w:t xml:space="preserve">Lokale wchodzące w skład mieszkaniowego zasobu mogą być przeznaczane na realizację zadań z zakresu pomocy społecznej oraz ustawy o wspieraniu rodziny i pieczy zastępczej, w szczególności na mieszkania chronione </w:t>
      </w:r>
      <w:r>
        <w:rPr>
          <w:color w:val="000000"/>
          <w:u w:color="000000"/>
        </w:rPr>
        <w:t>lub celem  prowadzenia całodobowej placówki opiekuńczo-wychowawczej.</w:t>
      </w:r>
    </w:p>
    <w:p w:rsidR="00A77B3E" w:rsidRDefault="00EF574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Mieszkania mogą być przekazywane do używania na pisemny i umotywowany wniosek Gminnego Ośrodka Pomocy Społecznej w Kłomnicach zaopiniowany przez Opiniodawczą Komisję Mieszkaniową i zaa</w:t>
      </w:r>
      <w:r>
        <w:rPr>
          <w:color w:val="000000"/>
          <w:u w:color="000000"/>
        </w:rPr>
        <w:t>kceptowany przez Wójta.</w:t>
      </w:r>
    </w:p>
    <w:p w:rsidR="00A77B3E" w:rsidRDefault="00EF5748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Gminny Ośrodek Pomocy Społecznej w Kłomnicach wyłania osoby, które mają używać mieszkań chronionych i udostępnia im mieszkania chronione na zasadach określonych w odrębnych przepisach o pomocy społecznej.</w:t>
      </w:r>
    </w:p>
    <w:p w:rsidR="00A77B3E" w:rsidRDefault="00EF5748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14.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Tryb rozpat</w:t>
      </w:r>
      <w:r>
        <w:rPr>
          <w:b/>
          <w:color w:val="000000"/>
          <w:u w:color="000000"/>
        </w:rPr>
        <w:t>rywania i załatwiania wniosków o najem lokali zawierany na czas nieoznaczony i o najem socjalny lokali oraz sposób poddania tych spraw kontroli społecznej</w:t>
      </w:r>
    </w:p>
    <w:p w:rsidR="00A77B3E" w:rsidRDefault="00EF5748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18. </w:t>
      </w:r>
      <w:r>
        <w:t>1. </w:t>
      </w:r>
      <w:r>
        <w:rPr>
          <w:color w:val="000000"/>
          <w:u w:color="000000"/>
        </w:rPr>
        <w:t xml:space="preserve">Osoby ubiegające się o zawarcie umowy najmu lokalu na czas nieoznaczony lub najem socjalny </w:t>
      </w:r>
      <w:r>
        <w:rPr>
          <w:color w:val="000000"/>
          <w:u w:color="000000"/>
        </w:rPr>
        <w:t>lokali powinny złożyć odpowiedni wniosek o najem lokalu w Urzędzie Gminy Kłomnice.</w:t>
      </w:r>
    </w:p>
    <w:p w:rsidR="00A77B3E" w:rsidRDefault="00EF574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Wnioski o których mowa w ust. 1 podlegają sprawdzeniu pod względem kompletności i są wpisywane do rejestru wniosków, prowadzonego przez właściwą do spraw lokalowych komór</w:t>
      </w:r>
      <w:r>
        <w:rPr>
          <w:color w:val="000000"/>
          <w:u w:color="000000"/>
        </w:rPr>
        <w:t>kę Urzędu Gminy Kłomnice</w:t>
      </w:r>
    </w:p>
    <w:p w:rsidR="00A77B3E" w:rsidRDefault="00EF5748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 sposobie rozpatrzenia wniosku wnioskodawca jest informowany pisemnie.</w:t>
      </w:r>
    </w:p>
    <w:p w:rsidR="00A77B3E" w:rsidRDefault="00EF5748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Wnioski osób przebywających w jednostkach penitencjarnych rozpatrywane są dopiero po ich opuszczeniu przez wnioskodawców oraz przedstawieniu faktycznej s</w:t>
      </w:r>
      <w:r>
        <w:rPr>
          <w:color w:val="000000"/>
          <w:u w:color="000000"/>
        </w:rPr>
        <w:t>ytuacji mieszkaniowej.</w:t>
      </w:r>
    </w:p>
    <w:p w:rsidR="00A77B3E" w:rsidRDefault="00EF5748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Osoby zakwalifikowane do zawarcia umowy najmu umieszczone na odpowiednich listach, za wyjątkiem osób umieszczonych na listach zgodnie z § 7 ust. 1 pkt 1 i 2, zobowiązane są do składania, bez dodatkowego wezwania, w terminie do koń</w:t>
      </w:r>
      <w:r>
        <w:rPr>
          <w:color w:val="000000"/>
          <w:u w:color="000000"/>
        </w:rPr>
        <w:t>ca lutego każdego roku, pisemnej informacji na temat aktualności danych dotyczących adresu zamieszkania, stanu cywilnego, sytuacji rodzinnej lub uzyskania tytułu prawnego do innego lokalu czy nieruchomości.</w:t>
      </w:r>
    </w:p>
    <w:p w:rsidR="00A77B3E" w:rsidRDefault="00EF5748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 xml:space="preserve">Osoby umieszczone na listach, zakwalifikowane </w:t>
      </w:r>
      <w:r>
        <w:rPr>
          <w:color w:val="000000"/>
          <w:u w:color="000000"/>
        </w:rPr>
        <w:t>do zawarcia umowy najmu, zobowiązane są w terminie 30 dni powiadomić właściwą dla spraw lokalowych komórkę Urzędu Gminy Kłomnice o dotyczących ich zmianach adresu zamieszkania, stanu cywilnego, sytuacji rodzinnej lub uzyskaniu tytułu prawnego do innego lok</w:t>
      </w:r>
      <w:r>
        <w:rPr>
          <w:color w:val="000000"/>
          <w:u w:color="000000"/>
        </w:rPr>
        <w:t>alu czy nieruchomości.</w:t>
      </w:r>
    </w:p>
    <w:p w:rsidR="00A77B3E" w:rsidRDefault="00EF5748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W przypadku braku spełnienia przez wnioskodawcę obowiązków, o których mowa w ust. 5 lub 6, Gmina może odstąpić od realizacji wniosku o zawarcie umowy najmu lokalu.</w:t>
      </w:r>
    </w:p>
    <w:p w:rsidR="00A77B3E" w:rsidRDefault="00EF5748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8. </w:t>
      </w:r>
      <w:r>
        <w:rPr>
          <w:color w:val="000000"/>
          <w:u w:color="000000"/>
        </w:rPr>
        <w:t>Osoby zakwalifikowane do zawarcia umowy najmu lokalu, po zaakce</w:t>
      </w:r>
      <w:r>
        <w:rPr>
          <w:color w:val="000000"/>
          <w:u w:color="000000"/>
        </w:rPr>
        <w:t>ptowaniu przez nich złożonej przez Gminę oferty najmu lokalu, zobowiązane są do ponownego udokumentowania spełniania warunków uprawniających do zawarcia umowy.</w:t>
      </w:r>
    </w:p>
    <w:p w:rsidR="00A77B3E" w:rsidRDefault="00EF5748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W przypadku nieudokumentowania przez wnioskodawców spełnienia warunków uprawniających do zawa</w:t>
      </w:r>
      <w:r>
        <w:rPr>
          <w:color w:val="000000"/>
          <w:u w:color="000000"/>
        </w:rPr>
        <w:t>rcia umowy najmu lokalu lub negatywnego wyniku weryfikacji dokumentów, o których mowa w ust. 8, Gmina odstępuje od realizacji wniosku o zawarcie umowy najmu lokalu.</w:t>
      </w:r>
    </w:p>
    <w:p w:rsidR="00A77B3E" w:rsidRDefault="00EF5748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Listy osób oczekujących na lokale mieszkalne oraz dotyczące zamiany mieszkań zatwierdza</w:t>
      </w:r>
      <w:r>
        <w:rPr>
          <w:color w:val="000000"/>
          <w:u w:color="000000"/>
        </w:rPr>
        <w:t xml:space="preserve"> Wójt.</w:t>
      </w:r>
    </w:p>
    <w:p w:rsidR="00A77B3E" w:rsidRDefault="00EF5748">
      <w:pPr>
        <w:keepLines/>
        <w:spacing w:before="120" w:after="120"/>
        <w:ind w:firstLine="340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>Zatwierdzone listy osób uprawnionych do zawarcia umów najmu lokali podaje się do publicznej wiadomości poprzez ich wywieszenie na tablicy ogłoszeń w siedzibie komórki właściwej do spraw lokalowych Urzędu Gminy Kłomnice.</w:t>
      </w:r>
    </w:p>
    <w:p w:rsidR="00A77B3E" w:rsidRDefault="00EF5748">
      <w:pPr>
        <w:keepLines/>
        <w:spacing w:before="120" w:after="120"/>
        <w:ind w:firstLine="340"/>
        <w:rPr>
          <w:color w:val="000000"/>
          <w:u w:color="000000"/>
        </w:rPr>
      </w:pPr>
      <w:r>
        <w:t>12. </w:t>
      </w:r>
      <w:r>
        <w:rPr>
          <w:color w:val="000000"/>
          <w:u w:color="000000"/>
        </w:rPr>
        <w:t xml:space="preserve">Realizacja uprawnień </w:t>
      </w:r>
      <w:r>
        <w:rPr>
          <w:color w:val="000000"/>
          <w:u w:color="000000"/>
        </w:rPr>
        <w:t>do zawarcia umów najmu lokali następuje poprzez przedstawienie wnioskodawcy oferty zawarcia umowy najmu lokalu zgodnie z kolejnością umieszczenia na liście i posiadanymi wolnymi lokalami, z zastrzeżeniem § 5 i § 7.</w:t>
      </w:r>
    </w:p>
    <w:p w:rsidR="00A77B3E" w:rsidRDefault="00EF5748">
      <w:pPr>
        <w:keepLines/>
        <w:spacing w:before="120" w:after="120"/>
        <w:ind w:firstLine="340"/>
        <w:rPr>
          <w:color w:val="000000"/>
          <w:u w:color="000000"/>
        </w:rPr>
      </w:pPr>
      <w:r>
        <w:t>13. </w:t>
      </w:r>
      <w:r>
        <w:rPr>
          <w:color w:val="000000"/>
          <w:u w:color="000000"/>
        </w:rPr>
        <w:t>Skreśla się z listy osób ubiegających</w:t>
      </w:r>
      <w:r>
        <w:rPr>
          <w:color w:val="000000"/>
          <w:u w:color="000000"/>
        </w:rPr>
        <w:t xml:space="preserve"> się o najem lokalu osoby, które w wyniku przeprowadzonej weryfikacji przestały spełniać warunki uprawniające do zawarcia umowy najmu lokalu na podstawie niniejszej uchwały.</w:t>
      </w:r>
    </w:p>
    <w:p w:rsidR="00A77B3E" w:rsidRDefault="00EF5748">
      <w:pPr>
        <w:keepLines/>
        <w:spacing w:before="120" w:after="120"/>
        <w:ind w:firstLine="340"/>
        <w:rPr>
          <w:color w:val="000000"/>
          <w:u w:color="000000"/>
        </w:rPr>
      </w:pPr>
      <w:r>
        <w:t>14. </w:t>
      </w:r>
      <w:r>
        <w:rPr>
          <w:color w:val="000000"/>
          <w:u w:color="000000"/>
        </w:rPr>
        <w:t>Wójt w każdym roku kalendarzowym może przeznaczyć lokale mieszkalne do zasiedl</w:t>
      </w:r>
      <w:r>
        <w:rPr>
          <w:color w:val="000000"/>
          <w:u w:color="000000"/>
        </w:rPr>
        <w:t>enia, które z uwagi na sytuację demograficzną gminy zostaną przeznaczone do realizacji szczególnych potrzeb wspólnoty samorządowej.</w:t>
      </w:r>
    </w:p>
    <w:p w:rsidR="00A77B3E" w:rsidRDefault="00EF5748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19. </w:t>
      </w:r>
      <w:r>
        <w:t>1. </w:t>
      </w:r>
      <w:r>
        <w:rPr>
          <w:color w:val="000000"/>
          <w:u w:color="000000"/>
        </w:rPr>
        <w:t xml:space="preserve">Kontrolę społeczną nad trybem rozpatrywania wniosków o najem lokali sprawuje Opiniodawcza Komisja Mieszkaniowa. </w:t>
      </w:r>
    </w:p>
    <w:p w:rsidR="00A77B3E" w:rsidRDefault="00EF574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Opiniodawcza Komisja Mieszkaniowa powoływana jest przez Wójta zarządzeniem, w którym ustalany jest jej skład, zadania i sposób działania.</w:t>
      </w:r>
      <w:r>
        <w:rPr>
          <w:b/>
          <w:color w:val="000000"/>
          <w:u w:color="000000"/>
        </w:rPr>
        <w:t> </w:t>
      </w:r>
    </w:p>
    <w:sectPr w:rsidR="00A77B3E">
      <w:footerReference w:type="default" r:id="rId8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F5748">
      <w:r>
        <w:separator/>
      </w:r>
    </w:p>
  </w:endnote>
  <w:endnote w:type="continuationSeparator" w:id="0">
    <w:p w:rsidR="00000000" w:rsidRDefault="00EF5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5B160B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5B160B" w:rsidRDefault="00EF5748">
          <w:pPr>
            <w:jc w:val="left"/>
            <w:rPr>
              <w:sz w:val="18"/>
            </w:rPr>
          </w:pPr>
          <w:r>
            <w:rPr>
              <w:sz w:val="18"/>
            </w:rPr>
            <w:t>Id: 89B30FF5-A426-469C-BD62-5CD53DA8D6D6. Projekt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5B160B" w:rsidRDefault="00EF574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0978EE">
            <w:rPr>
              <w:sz w:val="18"/>
            </w:rPr>
            <w:fldChar w:fldCharType="separate"/>
          </w:r>
          <w:r w:rsidR="000978E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5B160B" w:rsidRDefault="005B160B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5B160B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5B160B" w:rsidRDefault="00EF5748">
          <w:pPr>
            <w:jc w:val="left"/>
            <w:rPr>
              <w:sz w:val="18"/>
            </w:rPr>
          </w:pPr>
          <w:r>
            <w:rPr>
              <w:sz w:val="18"/>
            </w:rPr>
            <w:t>Id: 89B30FF5-A426-469C-BD62-5CD53DA8D6D6. Projekt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5B160B" w:rsidRDefault="00EF574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0978EE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5B160B" w:rsidRDefault="005B160B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F5748">
      <w:r>
        <w:separator/>
      </w:r>
    </w:p>
  </w:footnote>
  <w:footnote w:type="continuationSeparator" w:id="0">
    <w:p w:rsidR="00000000" w:rsidRDefault="00EF57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978EE"/>
    <w:rsid w:val="005B160B"/>
    <w:rsid w:val="00A77B3E"/>
    <w:rsid w:val="00CA2A55"/>
    <w:rsid w:val="00EF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3539</Words>
  <Characters>21239</Characters>
  <Application>Microsoft Office Word</Application>
  <DocSecurity>0</DocSecurity>
  <Lines>176</Lines>
  <Paragraphs>49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Gminy Kłomnice</Company>
  <LinksUpToDate>false</LinksUpToDate>
  <CharactersWithSpaces>24729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zasad wynajmowania lokali wchodzących w^skład mieszkaniowego zasobu Gminy Kłomnice</dc:subject>
  <dc:creator>mwalaszczyk</dc:creator>
  <cp:lastModifiedBy>Marta Walaszczyk</cp:lastModifiedBy>
  <cp:revision>2</cp:revision>
  <cp:lastPrinted>2020-12-18T09:57:00Z</cp:lastPrinted>
  <dcterms:created xsi:type="dcterms:W3CDTF">2020-12-18T11:09:00Z</dcterms:created>
  <dcterms:modified xsi:type="dcterms:W3CDTF">2020-12-18T11:09:00Z</dcterms:modified>
  <cp:category>Akt prawny</cp:category>
</cp:coreProperties>
</file>