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B9" w:rsidRDefault="00DA4BB9"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b/>
          <w:bCs/>
          <w:sz w:val="20"/>
          <w:szCs w:val="20"/>
        </w:rPr>
      </w:pPr>
      <w:r>
        <w:rPr>
          <w:b/>
          <w:bCs/>
          <w:sz w:val="20"/>
          <w:szCs w:val="20"/>
        </w:rPr>
        <w:t xml:space="preserve">Załącznik Nr 3 do Uchwały Rady Gminy Kłomnice                           </w:t>
      </w:r>
    </w:p>
    <w:p w:rsidR="00DA4BB9" w:rsidRDefault="00B4732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b/>
          <w:bCs/>
          <w:sz w:val="20"/>
          <w:szCs w:val="20"/>
        </w:rPr>
      </w:pPr>
      <w:r>
        <w:rPr>
          <w:b/>
          <w:bCs/>
          <w:sz w:val="20"/>
          <w:szCs w:val="20"/>
        </w:rPr>
        <w:t>Nr 97.XVIII.2015</w:t>
      </w:r>
      <w:bookmarkStart w:id="0" w:name="_GoBack"/>
      <w:bookmarkEnd w:id="0"/>
      <w:r w:rsidR="00DA4BB9">
        <w:rPr>
          <w:b/>
          <w:bCs/>
          <w:sz w:val="20"/>
          <w:szCs w:val="20"/>
        </w:rPr>
        <w:t xml:space="preserve"> z dnia 29.12.2015r</w:t>
      </w:r>
    </w:p>
    <w:p w:rsidR="00DA4BB9" w:rsidRDefault="00DA4BB9"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b/>
          <w:bCs/>
          <w:sz w:val="20"/>
          <w:szCs w:val="20"/>
        </w:rPr>
      </w:pP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Pr>
          <w:b/>
          <w:bCs/>
          <w:sz w:val="20"/>
          <w:szCs w:val="20"/>
        </w:rPr>
        <w:t>Objaśnienia przyjętych wartości do Wieloletniej Prognozy Finansowej Gminy Kłom</w:t>
      </w:r>
      <w:r>
        <w:rPr>
          <w:b/>
          <w:bCs/>
        </w:rPr>
        <w:t>nice na lata</w:t>
      </w:r>
      <w:r w:rsidR="00DA4BB9">
        <w:rPr>
          <w:b/>
          <w:bCs/>
        </w:rPr>
        <w:t xml:space="preserve">  </w:t>
      </w:r>
      <w:r>
        <w:rPr>
          <w:b/>
          <w:bCs/>
        </w:rPr>
        <w:t xml:space="preserve"> 2016-2027.</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W Wieloletniej Prognozie Finansowej Gminy Kłomnice zastosowano wzory załączników (załącznik nr 1 oraz załącznik nr 2 do uchwały) zgodnie z Rozporządzeniem Ministra Finansów z dnia 8 sierpnia 2014 roku zmieniającym rozporządzenie w sprawie wieloletniej prognozy finansowej jednostki samorządu terytorialnego z dnia 10 stycznia 2013 roku (Dz. U. z 2014 r. poz. 1127).</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Podstawą opracowania Wieloletniej Prognozy Finansowej Gminy Kłomnice jest projekt uchwały budżetowej na 2016 rok, dane sprawozdawcze z wykonania budżetu Gminy Kłomnice za lata 2013</w:t>
      </w:r>
      <w:r w:rsidR="000658BA">
        <w:rPr>
          <w:sz w:val="22"/>
          <w:szCs w:val="22"/>
        </w:rPr>
        <w:t xml:space="preserve">          </w:t>
      </w:r>
      <w:r>
        <w:rPr>
          <w:sz w:val="22"/>
          <w:szCs w:val="22"/>
        </w:rPr>
        <w:t xml:space="preserve"> i 2014, wartości planowane na koniec III kwartału 2015 roku oraz wytyczne Ministra Finansów dotyczące założeń makroekonomicznych dla potrzeb sporządzania wieloletnich prognoz finansowych jednostek samorządu terytorialnego.</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Art. 227 ust. 1 ustawy z dnia 27 sierpnia 2009 roku o finansach publicznych (tj. Dz. U. z 2013 r. poz. 885 z </w:t>
      </w:r>
      <w:proofErr w:type="spellStart"/>
      <w:r>
        <w:rPr>
          <w:sz w:val="22"/>
          <w:szCs w:val="22"/>
        </w:rPr>
        <w:t>późn</w:t>
      </w:r>
      <w:proofErr w:type="spellEnd"/>
      <w:r>
        <w:rPr>
          <w:sz w:val="22"/>
          <w:szCs w:val="22"/>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2027. W związku z powyższym, Wieloletnia Prognoza Finansowa Gminy Kłomnice została przygotowana na lata 2016-2027.</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Kwoty wydatków wynikające z limitów wydatków na przedsięwzięcia nie wykraczają poza okres prognozy kwoty długu. Nie planuje się także wydatków z tytułu niewymagalnych poręczeń i gwarancji, które przekraczałyby okres prognozy kwoty długu.</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
        <w:rPr>
          <w:b/>
          <w:bCs/>
        </w:rPr>
        <w:t>1. Założenia makroekonomiczne</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Przy opracowaniu prognozy pozycji budżetowych Gminy Kłomnice wykorzystano dwa podstawowe mierniki koniunktury gospodarczej – produkt krajowy brutto (PKB) oraz wskaźnik inflacji (CPI). Na ich podstawie oszacowano wartości dochodów i wydatków Gminy Kłomnice, co dzięki konstrukcji i zaawansowanym metodom dokonywania obliczeń, pozwoli realizować w przyszłości właściwą politykę finansową jednostki.</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Zgodnie z zaleceniami Ministra Finansów prognozę wskazanych mierników oparto o Wytyczne dotyczące założeń makroekonomicznych na potrzeby wieloletnich prognoz finansowych jednostek samorządu terytorialnego. Ostatnia dostępna aktualizacja ww. wytycznych miała miejsce 6 października 2015 roku, a dane wynikające z powołanego dokumentu prezentuje tabela 1.</w:t>
      </w:r>
    </w:p>
    <w:p w:rsidR="00DA4BB9" w:rsidRDefault="00DA4BB9"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lastRenderedPageBreak/>
        <w:t>Prognozę oparto o następujące założenia:</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2"/>
          <w:szCs w:val="22"/>
        </w:rPr>
      </w:pPr>
      <w:r>
        <w:rPr>
          <w:sz w:val="22"/>
          <w:szCs w:val="22"/>
        </w:rPr>
        <w:tab/>
        <w:t>1) dla roku 2016 przyjęto wartości wynikające z projektu budżetu;</w:t>
      </w:r>
    </w:p>
    <w:p w:rsidR="0082070D" w:rsidRDefault="0082070D" w:rsidP="008207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sz w:val="22"/>
          <w:szCs w:val="22"/>
        </w:rPr>
      </w:pPr>
      <w:r>
        <w:rPr>
          <w:sz w:val="22"/>
          <w:szCs w:val="22"/>
        </w:rPr>
        <w:tab/>
        <w:t>2) dla lat 2017-2027 prognozę wykonano poprzez indeksację o wskaźniki dynamiki inflacji oraz</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3113C6">
        <w:rPr>
          <w:rFonts w:ascii="Arial" w:hAnsi="Arial" w:cs="Arial"/>
          <w:sz w:val="20"/>
          <w:szCs w:val="20"/>
        </w:rPr>
        <w:t>dynamiki PKB.</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3113C6">
        <w:rPr>
          <w:rFonts w:ascii="Arial" w:hAnsi="Arial" w:cs="Arial"/>
          <w:sz w:val="20"/>
          <w:szCs w:val="20"/>
        </w:rPr>
        <w:t>Podzielenie prognozy w powyższy sposób pozwala na realną ocenę możliwości inwestycyjno-kredytowych gminy.</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3113C6">
        <w:rPr>
          <w:rFonts w:ascii="Arial" w:hAnsi="Arial" w:cs="Arial"/>
          <w:b/>
          <w:bCs/>
          <w:sz w:val="20"/>
          <w:szCs w:val="20"/>
        </w:rPr>
        <w:t>Tabela 1. Dane makroekonomiczne przyjęte do wyliczeń prognozy</w:t>
      </w:r>
    </w:p>
    <w:tbl>
      <w:tblPr>
        <w:tblW w:w="0" w:type="auto"/>
        <w:tblInd w:w="-5" w:type="dxa"/>
        <w:tblLayout w:type="fixed"/>
        <w:tblCellMar>
          <w:left w:w="10" w:type="dxa"/>
          <w:right w:w="10" w:type="dxa"/>
        </w:tblCellMar>
        <w:tblLook w:val="0000" w:firstRow="0" w:lastRow="0" w:firstColumn="0" w:lastColumn="0" w:noHBand="0" w:noVBand="0"/>
      </w:tblPr>
      <w:tblGrid>
        <w:gridCol w:w="1070"/>
        <w:gridCol w:w="1070"/>
        <w:gridCol w:w="1070"/>
        <w:gridCol w:w="1070"/>
        <w:gridCol w:w="1070"/>
        <w:gridCol w:w="1070"/>
        <w:gridCol w:w="1070"/>
        <w:gridCol w:w="1070"/>
      </w:tblGrid>
      <w:tr w:rsidR="003113C6" w:rsidRPr="003113C6">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2016</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2017</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2018</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2019</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2020</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2021</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2022</w:t>
            </w:r>
          </w:p>
        </w:tc>
      </w:tr>
      <w:tr w:rsidR="003113C6" w:rsidRPr="003113C6">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3113C6">
              <w:rPr>
                <w:rFonts w:ascii="Arial" w:hAnsi="Arial" w:cs="Arial"/>
                <w:b/>
                <w:bCs/>
                <w:sz w:val="18"/>
                <w:szCs w:val="18"/>
              </w:rPr>
              <w:t>PKB</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3,80%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3,90%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4,00%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3,90%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3,80%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3,70%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3,50%</w:t>
            </w:r>
          </w:p>
        </w:tc>
      </w:tr>
      <w:tr w:rsidR="003113C6" w:rsidRPr="003113C6">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3113C6">
              <w:rPr>
                <w:rFonts w:ascii="Arial" w:hAnsi="Arial" w:cs="Arial"/>
                <w:b/>
                <w:bCs/>
                <w:sz w:val="18"/>
                <w:szCs w:val="18"/>
              </w:rPr>
              <w:t>Inflacja</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1,70%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1,80%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r>
      <w:tr w:rsidR="003113C6" w:rsidRPr="003113C6" w:rsidTr="003113C6">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2023</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2024</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2025</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2026</w:t>
            </w:r>
          </w:p>
        </w:tc>
        <w:tc>
          <w:tcPr>
            <w:tcW w:w="1070" w:type="dxa"/>
            <w:tcBorders>
              <w:top w:val="single" w:sz="4" w:space="0" w:color="auto"/>
              <w:left w:val="single" w:sz="4" w:space="0" w:color="auto"/>
              <w:bottom w:val="single" w:sz="4" w:space="0" w:color="auto"/>
              <w:right w:val="single" w:sz="4" w:space="0" w:color="auto"/>
            </w:tcBorders>
            <w:vAlign w:val="bottom"/>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3113C6">
              <w:rPr>
                <w:rFonts w:ascii="Arial" w:hAnsi="Arial" w:cs="Arial"/>
                <w:b/>
                <w:bCs/>
                <w:sz w:val="20"/>
                <w:szCs w:val="20"/>
              </w:rPr>
              <w:t>2027</w:t>
            </w:r>
          </w:p>
        </w:tc>
        <w:tc>
          <w:tcPr>
            <w:tcW w:w="2140" w:type="dxa"/>
            <w:gridSpan w:val="2"/>
            <w:vMerge w:val="restart"/>
            <w:tcBorders>
              <w:top w:val="single" w:sz="4" w:space="0" w:color="auto"/>
              <w:left w:val="single" w:sz="4" w:space="0" w:color="auto"/>
              <w:bottom w:val="nil"/>
              <w:right w:val="nil"/>
            </w:tcBorders>
            <w:tcMar>
              <w:right w:w="0" w:type="dxa"/>
            </w:tcMar>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3113C6" w:rsidRPr="003113C6" w:rsidTr="003113C6">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3113C6">
              <w:rPr>
                <w:rFonts w:ascii="Arial" w:hAnsi="Arial" w:cs="Arial"/>
                <w:b/>
                <w:bCs/>
                <w:sz w:val="18"/>
                <w:szCs w:val="18"/>
              </w:rPr>
              <w:t>PKB</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3,30%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3,00%</w:t>
            </w:r>
          </w:p>
        </w:tc>
        <w:tc>
          <w:tcPr>
            <w:tcW w:w="1070" w:type="dxa"/>
            <w:gridSpan w:val="2"/>
            <w:vMerge/>
            <w:tcBorders>
              <w:top w:val="nil"/>
              <w:left w:val="single" w:sz="4" w:space="0" w:color="auto"/>
              <w:bottom w:val="single" w:sz="4" w:space="0" w:color="auto"/>
              <w:right w:val="nil"/>
            </w:tcBorders>
            <w:tcMar>
              <w:right w:w="0" w:type="dxa"/>
            </w:tcMar>
          </w:tcPr>
          <w:p w:rsidR="003113C6" w:rsidRPr="003113C6" w:rsidRDefault="003113C6" w:rsidP="003113C6">
            <w:pPr>
              <w:widowControl w:val="0"/>
              <w:autoSpaceDE w:val="0"/>
              <w:autoSpaceDN w:val="0"/>
              <w:adjustRightInd w:val="0"/>
              <w:spacing w:after="0" w:line="240" w:lineRule="auto"/>
              <w:rPr>
                <w:rFonts w:ascii="Arial" w:hAnsi="Arial" w:cs="Arial"/>
                <w:sz w:val="20"/>
                <w:szCs w:val="20"/>
              </w:rPr>
            </w:pPr>
          </w:p>
        </w:tc>
      </w:tr>
      <w:tr w:rsidR="003113C6" w:rsidRPr="003113C6" w:rsidTr="003113C6">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3113C6">
              <w:rPr>
                <w:rFonts w:ascii="Arial" w:hAnsi="Arial" w:cs="Arial"/>
                <w:b/>
                <w:bCs/>
                <w:sz w:val="18"/>
                <w:szCs w:val="18"/>
              </w:rPr>
              <w:t>Inflacja</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3113C6">
              <w:rPr>
                <w:rFonts w:ascii="Arial" w:hAnsi="Arial" w:cs="Arial"/>
                <w:sz w:val="20"/>
                <w:szCs w:val="20"/>
              </w:rPr>
              <w:t>2,50%</w:t>
            </w:r>
          </w:p>
        </w:tc>
        <w:tc>
          <w:tcPr>
            <w:tcW w:w="1070" w:type="dxa"/>
            <w:gridSpan w:val="2"/>
            <w:vMerge/>
            <w:tcBorders>
              <w:top w:val="nil"/>
              <w:left w:val="single" w:sz="4" w:space="0" w:color="auto"/>
              <w:bottom w:val="nil"/>
              <w:right w:val="nil"/>
            </w:tcBorders>
            <w:tcMar>
              <w:right w:w="0" w:type="dxa"/>
            </w:tcMar>
            <w:vAlign w:val="center"/>
          </w:tcPr>
          <w:p w:rsidR="003113C6" w:rsidRPr="003113C6" w:rsidRDefault="003113C6" w:rsidP="003113C6">
            <w:pPr>
              <w:widowControl w:val="0"/>
              <w:autoSpaceDE w:val="0"/>
              <w:autoSpaceDN w:val="0"/>
              <w:adjustRightInd w:val="0"/>
              <w:spacing w:after="0" w:line="240" w:lineRule="auto"/>
              <w:rPr>
                <w:rFonts w:ascii="Arial" w:hAnsi="Arial" w:cs="Arial"/>
                <w:sz w:val="20"/>
                <w:szCs w:val="20"/>
              </w:rPr>
            </w:pPr>
          </w:p>
        </w:tc>
      </w:tr>
    </w:tbl>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3113C6">
        <w:rPr>
          <w:rFonts w:ascii="Arial" w:hAnsi="Arial" w:cs="Arial"/>
          <w:sz w:val="16"/>
          <w:szCs w:val="16"/>
        </w:rPr>
        <w:t>Źródło: Wytyczne dotyczące założeń makroekonomicznych na potrzeby wieloletnich prognoz finansowych jednostek samorządu terytorialnego. Aktualizacja – październik 2015 r., (www.mf.gov.pl), Warszawa 2015.</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Times New Roman" w:hAnsi="Times New Roman" w:cs="Times New Roman"/>
        </w:rPr>
      </w:pPr>
      <w:r w:rsidRPr="003113C6">
        <w:rPr>
          <w:rFonts w:ascii="Arial" w:hAnsi="Arial" w:cs="Arial"/>
        </w:rPr>
        <w:t xml:space="preserve">Wykazane powyżej dane makroekonomiczne są korzystne z punktu widzenia jednostki samorządu terytorialnego. Dodatkowo, zwrócić należy uwagę na zwiększone szacunki Ministerstwa Finansów dotyczące wpływu dochodów z udziału w podatku dochodowym od osób fizycznych oraz z udziału w podatku dochodowym od osób prawnych. Jeżeli ta tendencja się utrzyma, można się spodziewać, że oba źródła dochodów budżetowych  Gminy Kłomnice będą ulegały zwiększeniu w najbliższych latach w tempie wyższym niż dynamika inflacji czy PKB. </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center"/>
        <w:rPr>
          <w:rFonts w:ascii="Times New Roman" w:hAnsi="Times New Roman" w:cs="Times New Roman"/>
        </w:rPr>
      </w:pPr>
      <w:r w:rsidRPr="003113C6">
        <w:rPr>
          <w:rFonts w:ascii="Times New Roman" w:hAnsi="Times New Roman" w:cs="Times New Roman"/>
          <w:noProof/>
          <w:lang w:eastAsia="pl-PL"/>
        </w:rPr>
        <w:drawing>
          <wp:inline distT="0" distB="0" distL="0" distR="0">
            <wp:extent cx="4591050" cy="24288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2428875"/>
                    </a:xfrm>
                    <a:prstGeom prst="rect">
                      <a:avLst/>
                    </a:prstGeom>
                    <a:noFill/>
                    <a:ln>
                      <a:noFill/>
                    </a:ln>
                  </pic:spPr>
                </pic:pic>
              </a:graphicData>
            </a:graphic>
          </wp:inline>
        </w:drawing>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Times New Roman" w:hAnsi="Times New Roman" w:cs="Times New Roman"/>
          <w:b/>
          <w:bCs/>
        </w:rPr>
      </w:pPr>
      <w:r w:rsidRPr="003113C6">
        <w:rPr>
          <w:rFonts w:ascii="Arial" w:hAnsi="Arial" w:cs="Arial"/>
          <w:b/>
          <w:bCs/>
        </w:rPr>
        <w:t>Wykres 1. Por</w:t>
      </w:r>
      <w:r w:rsidRPr="003113C6">
        <w:rPr>
          <w:rFonts w:ascii="Times New Roman" w:hAnsi="Times New Roman" w:cs="Times New Roman"/>
          <w:b/>
          <w:bCs/>
        </w:rPr>
        <w:t>ównanie dochodów budżetu państwa w I kw. 2014 i 2015 r.</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Arial" w:hAnsi="Arial" w:cs="Arial"/>
        </w:rPr>
      </w:pPr>
      <w:r w:rsidRPr="003113C6">
        <w:rPr>
          <w:rFonts w:ascii="Arial" w:hAnsi="Arial" w:cs="Arial"/>
        </w:rPr>
        <w:t>Źródło: Informacja kwartalna o stanie finansów publicznych w I kwartale 2015 r (nr 3/2015), Ministerstwo Finansów.</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Arial" w:hAnsi="Arial" w:cs="Arial"/>
        </w:rPr>
      </w:pP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sz w:val="16"/>
          <w:szCs w:val="16"/>
        </w:rPr>
      </w:pPr>
      <w:r w:rsidRPr="003113C6">
        <w:rPr>
          <w:rFonts w:ascii="Arial" w:hAnsi="Arial" w:cs="Arial"/>
        </w:rPr>
        <w:t>Jak wskazuje powyższy wykres, wykonanie dochodów z tytułu PIT i CIT w budżecie państwa jest znacząco wyższe w I kwartale roku 2015 w porównaniu do analogicznego okresu roku 2014, co powinno się przełożyć na zwiększenie udziału w PIT i CIT dla jednostek samorządu terytorialnego także w roku 2017. Pomimo tak istotnych przyrostów po stronie budżetu państwa, do indeksacji wpływów z tytułu PIT i CIT przyjęto znacznie niższą dynamikę wzrostu PKB.</w:t>
      </w:r>
      <w:r w:rsidRPr="003113C6">
        <w:rPr>
          <w:rFonts w:ascii="Times New Roman" w:hAnsi="Times New Roman" w:cs="Times New Roman"/>
        </w:rPr>
        <w:t xml:space="preserve"> </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rPr>
        <w:lastRenderedPageBreak/>
        <w:t>Zgodnie z przyjętym założeniem, dochody i wydatki bieżące w roku 2016 uwzględnione w WPF wynikają z wartości zawartych w projekcie budżetu na 2016 rok. Od 2017 roku dochody i wydatki bieżące ustalono za pomocą wskaźników inflacji oraz wskaźnika dynamiki PKB.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rPr>
        <w:t>Sposób indeksacji za pomocą wag przedstawia poniższy wzór:</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rPr>
      </w:pPr>
      <w:r w:rsidRPr="003113C6">
        <w:rPr>
          <w:rFonts w:ascii="Arial" w:hAnsi="Arial" w:cs="Arial"/>
          <w:noProof/>
          <w:lang w:eastAsia="pl-PL"/>
        </w:rPr>
        <w:drawing>
          <wp:inline distT="0" distB="0" distL="0" distR="0">
            <wp:extent cx="2971800" cy="1809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80975"/>
                    </a:xfrm>
                    <a:prstGeom prst="rect">
                      <a:avLst/>
                    </a:prstGeom>
                    <a:noFill/>
                    <a:ln>
                      <a:noFill/>
                    </a:ln>
                  </pic:spPr>
                </pic:pic>
              </a:graphicData>
            </a:graphic>
          </wp:inline>
        </w:drawing>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rPr>
        <w:t>gdzie:</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noProof/>
          <w:lang w:eastAsia="pl-PL"/>
        </w:rPr>
        <w:drawing>
          <wp:inline distT="0" distB="0" distL="0" distR="0">
            <wp:extent cx="133350" cy="1809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3113C6">
        <w:rPr>
          <w:rFonts w:ascii="Arial" w:hAnsi="Arial" w:cs="Arial"/>
        </w:rPr>
        <w:t xml:space="preserve"> - wartość prognozowana danej kategorii dochodów bądź wydatków budżetowych;</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noProof/>
          <w:lang w:eastAsia="pl-PL"/>
        </w:rPr>
        <w:drawing>
          <wp:inline distT="0" distB="0" distL="0" distR="0">
            <wp:extent cx="133350" cy="1809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3113C6">
        <w:rPr>
          <w:rFonts w:ascii="Arial" w:hAnsi="Arial" w:cs="Arial"/>
        </w:rPr>
        <w:t xml:space="preserve"> - wartość danej kategorii dochodów bądź wydatków budżetowych w roku poprzedzającym;</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noProof/>
          <w:lang w:eastAsia="pl-PL"/>
        </w:rPr>
        <w:drawing>
          <wp:inline distT="0" distB="0" distL="0" distR="0">
            <wp:extent cx="247650" cy="180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3113C6">
        <w:rPr>
          <w:rFonts w:ascii="Arial" w:hAnsi="Arial" w:cs="Arial"/>
        </w:rPr>
        <w:t xml:space="preserve"> - wartość wskaźnika inflacji w roku prognozowanym;</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noProof/>
          <w:lang w:eastAsia="pl-PL"/>
        </w:rPr>
        <w:drawing>
          <wp:inline distT="0" distB="0" distL="0" distR="0">
            <wp:extent cx="276225" cy="180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3113C6">
        <w:rPr>
          <w:rFonts w:ascii="Arial" w:hAnsi="Arial" w:cs="Arial"/>
        </w:rPr>
        <w:t xml:space="preserve"> - waga przypisana wskaźnikowi CPI, będąca jego rzeczywistym wpływem na prognozowaną kategorię;</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noProof/>
          <w:lang w:eastAsia="pl-PL"/>
        </w:rPr>
        <w:drawing>
          <wp:inline distT="0" distB="0" distL="0" distR="0">
            <wp:extent cx="400050" cy="180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3113C6">
        <w:rPr>
          <w:rFonts w:ascii="Arial" w:hAnsi="Arial" w:cs="Arial"/>
        </w:rPr>
        <w:t xml:space="preserve"> - wskaźnik dynamiki PKB;</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noProof/>
          <w:lang w:eastAsia="pl-PL"/>
        </w:rPr>
        <w:drawing>
          <wp:inline distT="0" distB="0" distL="0" distR="0">
            <wp:extent cx="381000" cy="180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3113C6">
        <w:rPr>
          <w:rFonts w:ascii="Arial" w:hAnsi="Arial" w:cs="Arial"/>
        </w:rPr>
        <w:t xml:space="preserve"> - waga przypisana wskaźnikowi dynamiki PKB, będąca jego rzeczywistym wpływem na prognozowaną kategorię.</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3113C6">
        <w:rPr>
          <w:rFonts w:ascii="Arial" w:hAnsi="Arial" w:cs="Arial"/>
          <w:b/>
          <w:bCs/>
          <w:sz w:val="24"/>
          <w:szCs w:val="24"/>
        </w:rPr>
        <w:t>2. Dochody</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rPr>
        <w:t>Prognozy dochodów Gminy Kłomnice dokonano w podziałach merytorycznych, a następnie sklasyfikowano w podziały wymagane ustawowo. Podział merytoryczny został sporządzony za pomocą paragrafów klasyfikacji budżetowej i objął dochody bieżące i majątkowe.</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rPr>
        <w:t>Dochody bieżące prognozowano w podziale na:</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rPr>
        <w:tab/>
        <w:t>1. podatki i opłaty lokalne (w tym: podatek od nieruchomości);</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rPr>
        <w:tab/>
        <w:t>2. udział w podatkach centralnych (w tym PIT i CIT);</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rPr>
        <w:tab/>
        <w:t>3. subwencję ogólną;</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rPr>
        <w:tab/>
        <w:t>4. dotacje i środki przeznaczone na cele bieżące (na zadania zlecone i powierzone oraz na zadania własne);</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rPr>
        <w:tab/>
        <w:t>5. pozostałe dochody (w tym: grzywny i kary pieniężne, wpływy z usług, odsetki od środków na rachunkach bankowych).</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rPr>
        <w:t>Dochody majątkowe prognozowano w podziale na:</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rPr>
        <w:tab/>
        <w:t>1. dochody z majątku (w tym sprzedaż mienia);</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3113C6">
        <w:rPr>
          <w:rFonts w:ascii="Arial" w:hAnsi="Arial" w:cs="Arial"/>
        </w:rPr>
        <w:tab/>
        <w:t>2. dotacje i środki przeznaczone na inwestycje;</w:t>
      </w:r>
    </w:p>
    <w:p w:rsidR="003113C6" w:rsidRPr="003113C6" w:rsidRDefault="003113C6" w:rsidP="003113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3113C6">
        <w:rPr>
          <w:rFonts w:ascii="Arial" w:hAnsi="Arial" w:cs="Arial"/>
        </w:rPr>
        <w:tab/>
        <w:t>3. pozostałe dochody.</w:t>
      </w:r>
    </w:p>
    <w:p w:rsidR="000658BA" w:rsidRDefault="000658BA"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b/>
          <w:bCs/>
        </w:rPr>
      </w:pPr>
    </w:p>
    <w:p w:rsidR="000658BA" w:rsidRDefault="000658BA"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b/>
          <w:bCs/>
        </w:rPr>
      </w:pPr>
    </w:p>
    <w:p w:rsidR="000658BA" w:rsidRDefault="000658BA"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b/>
          <w:bCs/>
        </w:rPr>
      </w:pP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b/>
          <w:bCs/>
        </w:rPr>
        <w:lastRenderedPageBreak/>
        <w:t>2.1 Dochody bieżące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Uwzględniając dotychczasowe kształtowanie się dochodów budżetu Gminy Kłomnice oraz przewidywania na następne lata, w poszczególnych kategoriach dochodów bieżących posłużono się metodą indeksacji wartości bazowych o odpowiednio przypisany dla każdej kategorii budżetowej wskaźnik, za pomocą następujących wag:</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DA4BB9">
        <w:rPr>
          <w:rFonts w:ascii="Arial" w:hAnsi="Arial" w:cs="Arial"/>
          <w:b/>
          <w:bCs/>
          <w:sz w:val="20"/>
          <w:szCs w:val="20"/>
        </w:rPr>
        <w:t>Tabela 2. Wagi dla danych makroekonomicznych przyjęte do wyliczeń prognozy dochodów bieżących</w:t>
      </w:r>
    </w:p>
    <w:tbl>
      <w:tblPr>
        <w:tblW w:w="0" w:type="auto"/>
        <w:tblInd w:w="-5" w:type="dxa"/>
        <w:tblLayout w:type="fixed"/>
        <w:tblCellMar>
          <w:left w:w="10" w:type="dxa"/>
          <w:right w:w="10" w:type="dxa"/>
        </w:tblCellMar>
        <w:tblLook w:val="0000" w:firstRow="0" w:lastRow="0" w:firstColumn="0" w:lastColumn="0" w:noHBand="0" w:noVBand="0"/>
      </w:tblPr>
      <w:tblGrid>
        <w:gridCol w:w="2853"/>
        <w:gridCol w:w="2853"/>
        <w:gridCol w:w="2853"/>
      </w:tblGrid>
      <w:tr w:rsidR="00DA4BB9" w:rsidRPr="00DA4BB9">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DA4BB9">
              <w:rPr>
                <w:rFonts w:ascii="Arial" w:hAnsi="Arial" w:cs="Arial"/>
                <w:sz w:val="20"/>
                <w:szCs w:val="20"/>
              </w:rPr>
              <w:t>Wyszczególnienie</w:t>
            </w:r>
          </w:p>
        </w:tc>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sz w:val="20"/>
                <w:szCs w:val="20"/>
              </w:rPr>
              <w:t>INF</w:t>
            </w:r>
          </w:p>
        </w:tc>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sz w:val="20"/>
                <w:szCs w:val="20"/>
              </w:rPr>
              <w:t>PKB</w:t>
            </w:r>
          </w:p>
        </w:tc>
      </w:tr>
      <w:tr w:rsidR="00DA4BB9" w:rsidRPr="00DA4BB9">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DA4BB9">
              <w:rPr>
                <w:rFonts w:ascii="Arial" w:hAnsi="Arial" w:cs="Arial"/>
                <w:sz w:val="20"/>
                <w:szCs w:val="20"/>
              </w:rPr>
              <w:t>Udział w PIT</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100,00%</w:t>
            </w:r>
          </w:p>
        </w:tc>
      </w:tr>
      <w:tr w:rsidR="00DA4BB9" w:rsidRPr="00DA4BB9">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DA4BB9">
              <w:rPr>
                <w:rFonts w:ascii="Arial" w:hAnsi="Arial" w:cs="Arial"/>
                <w:sz w:val="20"/>
                <w:szCs w:val="20"/>
              </w:rPr>
              <w:t>Udział w CIT</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100,00%</w:t>
            </w:r>
          </w:p>
        </w:tc>
      </w:tr>
      <w:tr w:rsidR="00DA4BB9" w:rsidRPr="00DA4BB9">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DA4BB9">
              <w:rPr>
                <w:rFonts w:ascii="Arial" w:hAnsi="Arial" w:cs="Arial"/>
                <w:sz w:val="20"/>
                <w:szCs w:val="20"/>
              </w:rPr>
              <w:t>Podatki i opłaty</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100,00%</w:t>
            </w:r>
          </w:p>
        </w:tc>
      </w:tr>
      <w:tr w:rsidR="00DA4BB9" w:rsidRPr="00DA4BB9">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DA4BB9">
              <w:rPr>
                <w:rFonts w:ascii="Arial" w:hAnsi="Arial" w:cs="Arial"/>
                <w:sz w:val="20"/>
                <w:szCs w:val="20"/>
              </w:rPr>
              <w:t>- podatek od nieruchomości</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100,00%</w:t>
            </w:r>
          </w:p>
        </w:tc>
      </w:tr>
      <w:tr w:rsidR="00DA4BB9" w:rsidRPr="00DA4BB9">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DA4BB9">
              <w:rPr>
                <w:rFonts w:ascii="Arial" w:hAnsi="Arial" w:cs="Arial"/>
                <w:sz w:val="20"/>
                <w:szCs w:val="20"/>
              </w:rPr>
              <w:t>Subwencja ogólna</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100,00%</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0,00%</w:t>
            </w:r>
          </w:p>
        </w:tc>
      </w:tr>
      <w:tr w:rsidR="00DA4BB9" w:rsidRPr="00DA4BB9">
        <w:tc>
          <w:tcPr>
            <w:tcW w:w="2853"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DA4BB9">
              <w:rPr>
                <w:rFonts w:ascii="Arial" w:hAnsi="Arial" w:cs="Arial"/>
                <w:sz w:val="20"/>
                <w:szCs w:val="20"/>
              </w:rPr>
              <w:t>Dotacje i środki na cele bieżące</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100,00%</w:t>
            </w:r>
          </w:p>
        </w:tc>
        <w:tc>
          <w:tcPr>
            <w:tcW w:w="2853"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0,00%</w:t>
            </w:r>
          </w:p>
        </w:tc>
      </w:tr>
    </w:tbl>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DA4BB9">
        <w:rPr>
          <w:rFonts w:ascii="Arial" w:hAnsi="Arial" w:cs="Arial"/>
          <w:sz w:val="16"/>
          <w:szCs w:val="16"/>
        </w:rPr>
        <w:t>Źródło: Opracowanie własne.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DA4BB9">
        <w:rPr>
          <w:rFonts w:ascii="Arial" w:hAnsi="Arial" w:cs="Arial"/>
          <w:b/>
          <w:bCs/>
        </w:rPr>
        <w:t>Podatek od nieruchomości</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Stosownie do przepisów ustawy o podatkach i opłatach lokalnych wysokość stawek podatku od nieruchomości nie mogą przekroczyć górnych granic stawek kwotowych ogłoszonych przez Ministra Finansów. Wpływy z tytułu podatku od nieruchomości na 2016 rok zaplanowano w oparciu o wysokości rocznych stawek podatku od nieruchomości na 2015 rok. W listopadzie zostanie podjęta uchwała Wójta w sprawie zmiany rocznych stawek podatku od nieruchomości i wówczas naniesione zostaną ew</w:t>
      </w:r>
      <w:r w:rsidR="000D4698">
        <w:rPr>
          <w:rFonts w:ascii="Arial" w:hAnsi="Arial" w:cs="Arial"/>
        </w:rPr>
        <w:t>e</w:t>
      </w:r>
      <w:r w:rsidRPr="00DA4BB9">
        <w:rPr>
          <w:rFonts w:ascii="Arial" w:hAnsi="Arial" w:cs="Arial"/>
        </w:rPr>
        <w:t>ntualne zmiany.</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DA4BB9">
        <w:rPr>
          <w:rFonts w:ascii="Arial" w:hAnsi="Arial" w:cs="Arial"/>
          <w:b/>
          <w:bCs/>
        </w:rPr>
        <w:t>Udział w podatkach centralnych</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Jako, że ta grupa dochodów pozostaje w bardzo silnym związku z sytuacją makroekonomiczną kraju, przy szacowaniu dochodów z tytułu udziałów w podatku dochodowym od osób fizycznych (PIT) oraz od osób prawnych (CIT) w latach 2016-2027 wzięto pod uwagę założony wskaźnik PKB.</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DA4BB9">
        <w:rPr>
          <w:rFonts w:ascii="Arial" w:hAnsi="Arial" w:cs="Arial"/>
          <w:b/>
          <w:bCs/>
        </w:rPr>
        <w:t>Subwencje i dotacje na zadania bieżące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Planowaną kwotę subwencji ogólnej oraz dotacji celowych z budżetu państwa (innych niż środki na dofinansowanie realizacji projektów europejskich) na 2016 rok przyjęto w oparciu o informacje przekazane przez Ministra Finansów. W kolejnych latach prognozy założono wzrost kwoty otrzymywanych dotychczas cyklicznych subwencji i dotacji celowych z budżetu państwa w oparciu o prognozowany wskaźnik PKB.</w:t>
      </w:r>
    </w:p>
    <w:p w:rsidR="00DA4BB9" w:rsidRPr="00DA4BB9" w:rsidRDefault="00DA4BB9" w:rsidP="00DA4BB9">
      <w:pPr>
        <w:autoSpaceDE w:val="0"/>
        <w:autoSpaceDN w:val="0"/>
        <w:adjustRightInd w:val="0"/>
        <w:spacing w:after="200" w:line="276" w:lineRule="auto"/>
        <w:jc w:val="both"/>
        <w:rPr>
          <w:rFonts w:ascii="Times New Roman" w:hAnsi="Times New Roman" w:cs="Times New Roman"/>
        </w:rPr>
      </w:pPr>
      <w:r w:rsidRPr="00DA4BB9">
        <w:rPr>
          <w:rFonts w:ascii="Arial" w:hAnsi="Arial" w:cs="Arial"/>
        </w:rPr>
        <w:t xml:space="preserve">Podkreślić należy, że w kolejnych latach prognozy zwiększono planowaną kwotę dotacji w pozycji 1.1.5 w stosunku do roku budżetowego (2016) o więcej niż waloryzowany wskaźnik wskazany powyżej. Przyczyną takiej korekty jest fakt, iż w budżecie roku bieżącego nie przyjmuje się dotacji w kwotach jakich zostaną one realnie wykonane. W trakcie roku budżetowego będą po stronie dotacji ujmowane jeszcze przeniesienia z rezerw lub inne wpływy o charakterze dotacji. Prawidłową podstawą do dalszych prognoz dotacji po roku budżetowym będą dane z wykonania budżetu a nie z jego projektu. Pomimo świadomości, że w ciągu roku budżetowego zostaną zwiększone kwoty dotacji, zgodnie z wytycznymi nie są one przyjmowane już na etapie projektowania. Aby jednak zachować postulat realności prognozy (art. 226 ust. 1 </w:t>
      </w:r>
      <w:proofErr w:type="spellStart"/>
      <w:r w:rsidRPr="00DA4BB9">
        <w:rPr>
          <w:rFonts w:ascii="Arial" w:hAnsi="Arial" w:cs="Arial"/>
        </w:rPr>
        <w:t>UoFP</w:t>
      </w:r>
      <w:proofErr w:type="spellEnd"/>
      <w:r w:rsidRPr="00DA4BB9">
        <w:rPr>
          <w:rFonts w:ascii="Arial" w:hAnsi="Arial" w:cs="Arial"/>
        </w:rPr>
        <w:t xml:space="preserve">) w kolejnych latach wprowadzono kwoty </w:t>
      </w:r>
      <w:r w:rsidRPr="00DA4BB9">
        <w:rPr>
          <w:rFonts w:ascii="Arial" w:hAnsi="Arial" w:cs="Arial"/>
        </w:rPr>
        <w:lastRenderedPageBreak/>
        <w:t xml:space="preserve">uzasadnione na bazie danych historycznych i wynikające z zakresu realizowanych zadań, odbiegając od prostej waloryzacji z roku 2016. </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b/>
          <w:bCs/>
        </w:rPr>
        <w:t>2.2 Dochody majątkowe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W 2016 roku dochody ze sprzedaży majątku zaplanowano na poziomie 100 000,00 zł. Bazując na informacjach o wykonaniu dochodów majątkowych w poprzednich latach, należy stwierdzić, że zaplanowana kwota jest realna, ryzyko ich niewykonania jest minimalne, a sama sprzedaż mienia została zaplanowana przy dochowaniu najwyższej staranności.</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DA4BB9">
        <w:rPr>
          <w:rFonts w:ascii="Arial" w:hAnsi="Arial" w:cs="Arial"/>
        </w:rPr>
        <w:t>Wartość zaplanowanych w 2016 roku dochodów ze sprzedaży ma zapewnić sprzedaż nieruchomości.</w:t>
      </w:r>
      <w:r w:rsidRPr="00DA4BB9">
        <w:rPr>
          <w:rFonts w:ascii="Arial" w:hAnsi="Arial" w:cs="Arial"/>
          <w:sz w:val="16"/>
          <w:szCs w:val="16"/>
        </w:rPr>
        <w:t>.</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color w:val="000000"/>
        </w:rPr>
      </w:pPr>
      <w:r w:rsidRPr="00DA4BB9">
        <w:rPr>
          <w:rFonts w:ascii="Arial" w:hAnsi="Arial" w:cs="Arial"/>
          <w:color w:val="000000"/>
        </w:rPr>
        <w:t>W związku z harmonogramem realizacji zadań związanych z Planem Gospodarki Niskoemisyjnej na terenie Gminy Kłomnice i zamiarem ubiegania się o dofin</w:t>
      </w:r>
      <w:r>
        <w:rPr>
          <w:rFonts w:ascii="Arial" w:hAnsi="Arial" w:cs="Arial"/>
          <w:color w:val="000000"/>
        </w:rPr>
        <w:t>ansowanie unijne na przedsięwzię</w:t>
      </w:r>
      <w:r w:rsidRPr="00DA4BB9">
        <w:rPr>
          <w:rFonts w:ascii="Arial" w:hAnsi="Arial" w:cs="Arial"/>
          <w:color w:val="000000"/>
        </w:rPr>
        <w:t>cia realizowane w ramach tego projektu, w Wieloletniej prognozie finansowej Gminy Kłomnice  w latach 2017-2020 uwzględniono w dochodach majątkowych planowane kwoty dotacji, o które gmina zamierza się ubiegać.</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16"/>
          <w:szCs w:val="16"/>
        </w:rPr>
      </w:pPr>
      <w:r w:rsidRPr="00DA4BB9">
        <w:rPr>
          <w:rFonts w:ascii="Arial" w:hAnsi="Arial" w:cs="Arial"/>
          <w:color w:val="171717"/>
        </w:rPr>
        <w:t>Niepewność jaka towarzyszy kształtowi perspektywy finansowej na lata 2014-2020 powoduje trudności w oszacowaniu wysokości tych dochodów w późniejszych okresach. W przypadku pojawienia się oficjalnych informacji o programach, w ramach których Gmina będzie zainteresowana aplikowaniem o dofinansowanie, prognoza będzie stosownie aktualizowana.</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DA4BB9">
        <w:rPr>
          <w:rFonts w:ascii="Arial" w:hAnsi="Arial" w:cs="Arial"/>
          <w:b/>
          <w:bCs/>
          <w:sz w:val="24"/>
          <w:szCs w:val="24"/>
        </w:rPr>
        <w:t>3. Wydatki</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Prognozy wydatków Gminy Kłomnice dokonano w podziale na kategorie wydatków bieżących i wydatków majątkowych.</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b/>
          <w:bCs/>
        </w:rPr>
        <w:t>3.1 Wydatki bieżące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Wydatki bieżące prognozowano w podziale na:</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DA4BB9">
        <w:rPr>
          <w:rFonts w:ascii="Arial" w:hAnsi="Arial" w:cs="Arial"/>
        </w:rPr>
        <w:tab/>
        <w:t>1) wydatki na poręczenia i gwarancje;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DA4BB9">
        <w:rPr>
          <w:rFonts w:ascii="Arial" w:hAnsi="Arial" w:cs="Arial"/>
        </w:rPr>
        <w:tab/>
        <w:t>2) wydatki związane z obsługą zadłużenia, w tym odsetki i dyskonto;</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DA4BB9">
        <w:rPr>
          <w:rFonts w:ascii="Arial" w:hAnsi="Arial" w:cs="Arial"/>
        </w:rPr>
        <w:tab/>
        <w:t>3) wynagrodzenia i składki od nich naliczane;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ab/>
        <w:t>4) pozostałe wydatki bieżące.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Zgodnie z założeniami przyjętymi przy prognozie dochodów, dla wydatków bieżących w roku 2016 przyjęto projekt budżetu. W latach 2017-2027 dokonano indeksacji o 100% wagi wskaźników inflacji. O ile w przypadku wydatków na wynagrodzenia, pochodnych od wynagrodzeń i pozostałych wydatków bieżących możliwość zastosowania indeksacji jest uzasadniona, o tyle wydatki związane z obsługą długu są ściśle uzależnione od zawartych w umowach kredytowych, pożyczkowych i emisji obligacji postanowień.</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b/>
          <w:bCs/>
        </w:rPr>
        <w:t>3.2 Wydatki majątkowe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 xml:space="preserve">Wydatki majątkowe obejmują przede wszystkim przedsięwzięcia inwestycyjne, które ujęto w załączniku nr 2 do Wieloletniej Prognozy Finansowej Gminy Kłomnice na lata 2016-2020. W kolejnych </w:t>
      </w:r>
      <w:r w:rsidRPr="00DA4BB9">
        <w:rPr>
          <w:rFonts w:ascii="Arial" w:hAnsi="Arial" w:cs="Arial"/>
        </w:rPr>
        <w:lastRenderedPageBreak/>
        <w:t>latach wydatki majątkowe zostały zaplanowane tak aby pokryły pozostałą po spłacie zobowiązań część tzw. wolnych środków.</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Oprócz przedsięwzięć przewidzianych w WPF zaplanowano niezbędne wydatki, takie jak: dotacje celowe dla JST wynikające z ustawy o ochronie gruntów rolnych i leśnych, wydatki na pozyskanie gruntów pod inwestycje drogowe itp.</w:t>
      </w:r>
    </w:p>
    <w:p w:rsidR="000658BA" w:rsidRDefault="000658BA"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b/>
          <w:bCs/>
          <w:sz w:val="24"/>
          <w:szCs w:val="24"/>
        </w:rPr>
      </w:pP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DA4BB9">
        <w:rPr>
          <w:rFonts w:ascii="Arial" w:hAnsi="Arial" w:cs="Arial"/>
          <w:b/>
          <w:bCs/>
          <w:sz w:val="24"/>
          <w:szCs w:val="24"/>
        </w:rPr>
        <w:t>4. Wynik budżetu</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 242 (brak deficytu bieżącego). Ponadto wynik finansowy budżetu został sprowadzony do 0 w całym badanym okresie.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DA4BB9">
        <w:rPr>
          <w:rFonts w:ascii="Arial" w:hAnsi="Arial" w:cs="Arial"/>
          <w:b/>
          <w:bCs/>
          <w:sz w:val="18"/>
          <w:szCs w:val="18"/>
        </w:rPr>
        <w:t>Tabela 4. Wynik budżetu Gminy Kłomnice</w:t>
      </w:r>
    </w:p>
    <w:tbl>
      <w:tblPr>
        <w:tblW w:w="0" w:type="auto"/>
        <w:tblInd w:w="-5" w:type="dxa"/>
        <w:tblLayout w:type="fixed"/>
        <w:tblCellMar>
          <w:left w:w="10" w:type="dxa"/>
          <w:right w:w="10" w:type="dxa"/>
        </w:tblCellMar>
        <w:tblLook w:val="0000" w:firstRow="0" w:lastRow="0" w:firstColumn="0" w:lastColumn="0" w:noHBand="0" w:noVBand="0"/>
      </w:tblPr>
      <w:tblGrid>
        <w:gridCol w:w="1712"/>
        <w:gridCol w:w="1712"/>
        <w:gridCol w:w="1712"/>
        <w:gridCol w:w="1712"/>
        <w:gridCol w:w="1712"/>
      </w:tblGrid>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2016</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2017</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2018</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2019</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36 423 822,00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41 541 959,00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42 077 623,00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42 695 447,00</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35 518 606,00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40 098 113,00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40 473 873,00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40 744 601,00</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905 216,00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1 443 846,00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1 603 750,00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1 950 846,00</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2020</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2021</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2022</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2023</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46 058 866,00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42 194 614,00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43 453 891,00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44 709 489,00</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44 061 770,00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40 073 518,00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41 282 795,00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42 538 393,00</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1 997 096,00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2 121 096,00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2 171 096,00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2 171 096,00</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2024</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2025</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2026</w:t>
            </w:r>
          </w:p>
        </w:tc>
        <w:tc>
          <w:tcPr>
            <w:tcW w:w="1712"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2027</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45 958 354,00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47 219 973,00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48 516 513,00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49 848 947,00</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43 968 354,00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45 169 973,00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47 016 513,00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48 170 421,72</w:t>
            </w:r>
          </w:p>
        </w:tc>
      </w:tr>
      <w:tr w:rsidR="00DA4BB9" w:rsidRPr="00DA4BB9">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1 990 000,00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2 050 000,00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1 678 525,28</w:t>
            </w:r>
          </w:p>
        </w:tc>
      </w:tr>
    </w:tbl>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DA4BB9">
        <w:rPr>
          <w:rFonts w:ascii="Arial" w:hAnsi="Arial" w:cs="Arial"/>
          <w:sz w:val="16"/>
          <w:szCs w:val="16"/>
        </w:rPr>
        <w:t>Źródło: Opracowanie własne.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DA4BB9">
        <w:rPr>
          <w:rFonts w:ascii="Arial" w:hAnsi="Arial" w:cs="Arial"/>
          <w:b/>
          <w:bCs/>
          <w:sz w:val="24"/>
          <w:szCs w:val="24"/>
        </w:rPr>
        <w:t>5. Przychody</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W okresie objętym prognozą planuje się zaciągnąć nowe zobowiązanie.</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DA4BB9">
        <w:rPr>
          <w:rFonts w:ascii="Arial" w:hAnsi="Arial" w:cs="Arial"/>
          <w:b/>
          <w:bCs/>
          <w:sz w:val="24"/>
          <w:szCs w:val="24"/>
        </w:rPr>
        <w:t>6. Rozchody</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Na dzień 01.01.2016 kwota zadłużenia, wpływająca na kształtowanie się wskaźnika faktycznej obsługi zadłużenia, wynikająca z zaciągniętych kredytów, pożyczek i wyemitowanych obligacji wynosi 21 582 567,28 zł, a jego spłata planowana jest do roku 2027.</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W związku z umową nr UDA-RPSL.05.01.00-00-027/09-00 zawartą na realizację  projektu finansowanego powyżej 60% ze środków, o których mowa w art. 5 ust.1 pkt.2 UFP, w rozchodach Gminy Kłomnice uwzględniono stosowne wyłączenia. Umowa dotyczyła dofinansowania projektu "Budowa oczyszczalni ścieków w Hubach oraz kanalizacji sanitarnej w Hubach, Adamowie</w:t>
      </w:r>
      <w:r w:rsidR="000658BA">
        <w:rPr>
          <w:rFonts w:ascii="Arial" w:hAnsi="Arial" w:cs="Arial"/>
        </w:rPr>
        <w:t xml:space="preserve">                           </w:t>
      </w:r>
      <w:r w:rsidRPr="00DA4BB9">
        <w:rPr>
          <w:rFonts w:ascii="Arial" w:hAnsi="Arial" w:cs="Arial"/>
        </w:rPr>
        <w:t xml:space="preserve"> i Rzerzęczycach".</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DA4BB9">
        <w:rPr>
          <w:rFonts w:ascii="Arial" w:hAnsi="Arial" w:cs="Arial"/>
          <w:b/>
          <w:bCs/>
          <w:sz w:val="24"/>
          <w:szCs w:val="24"/>
        </w:rPr>
        <w:t>7. Relacja z art. 243 ustawy o finansach publicznych</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DA4BB9">
        <w:rPr>
          <w:rFonts w:ascii="Arial" w:hAnsi="Arial" w:cs="Arial"/>
        </w:rPr>
        <w:t>Zgodnie z art. 243 ust. 1 ustawy z dnia 27 sierpnia 2009 r. o finansach publicznych (tj. Dz. U. z 2013 r. poz. 885 z </w:t>
      </w:r>
      <w:proofErr w:type="spellStart"/>
      <w:r w:rsidRPr="00DA4BB9">
        <w:rPr>
          <w:rFonts w:ascii="Arial" w:hAnsi="Arial" w:cs="Arial"/>
        </w:rPr>
        <w:t>późn</w:t>
      </w:r>
      <w:proofErr w:type="spellEnd"/>
      <w:r w:rsidRPr="00DA4BB9">
        <w:rPr>
          <w:rFonts w:ascii="Arial" w:hAnsi="Arial" w:cs="Arial"/>
        </w:rPr>
        <w:t xml:space="preserve">. zm.) od 1 stycznia 2014 r. obowiązuje indywidualny wskaźnik zadłużenia dla samorządów. Według przepisów roczna wartość spłat zobowiązań i ich obsługi do planowanych </w:t>
      </w:r>
      <w:r w:rsidRPr="00DA4BB9">
        <w:rPr>
          <w:rFonts w:ascii="Arial" w:hAnsi="Arial" w:cs="Arial"/>
        </w:rPr>
        <w:lastRenderedPageBreak/>
        <w:t>dochodów nie może przekroczyć wskaźnika opartego na średniej arytmetycznej z obliczonych dla ostatnich 3 lat relacji dochodów bieżących, powiększonych o wpływy uzyskane ze sprzedaży majątku oraz pomniejszonych o wydatki bieżące, do dochodów ogółem.</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rPr>
      </w:pPr>
    </w:p>
    <w:p w:rsid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rPr>
      </w:pPr>
    </w:p>
    <w:p w:rsidR="008D12A7" w:rsidRDefault="008D12A7"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rPr>
      </w:pPr>
    </w:p>
    <w:p w:rsidR="008D12A7" w:rsidRPr="00DA4BB9" w:rsidRDefault="008D12A7"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rPr>
      </w:pP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rPr>
      </w:pP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DA4BB9">
        <w:rPr>
          <w:rFonts w:ascii="Arial" w:hAnsi="Arial" w:cs="Arial"/>
          <w:b/>
          <w:bCs/>
          <w:sz w:val="18"/>
          <w:szCs w:val="18"/>
        </w:rPr>
        <w:t xml:space="preserve">Tabela 5. Kształtowanie się relacji z art. 243 </w:t>
      </w:r>
      <w:proofErr w:type="spellStart"/>
      <w:r w:rsidRPr="00DA4BB9">
        <w:rPr>
          <w:rFonts w:ascii="Arial" w:hAnsi="Arial" w:cs="Arial"/>
          <w:b/>
          <w:bCs/>
          <w:sz w:val="18"/>
          <w:szCs w:val="18"/>
        </w:rPr>
        <w:t>u.f.p</w:t>
      </w:r>
      <w:proofErr w:type="spellEnd"/>
      <w:r w:rsidRPr="00DA4BB9">
        <w:rPr>
          <w:rFonts w:ascii="Arial" w:hAnsi="Arial" w:cs="Arial"/>
          <w:b/>
          <w:bCs/>
          <w:sz w:val="18"/>
          <w:szCs w:val="18"/>
        </w:rPr>
        <w:t>.</w:t>
      </w:r>
    </w:p>
    <w:tbl>
      <w:tblPr>
        <w:tblW w:w="0" w:type="auto"/>
        <w:tblInd w:w="-5" w:type="dxa"/>
        <w:tblLayout w:type="fixed"/>
        <w:tblCellMar>
          <w:left w:w="10" w:type="dxa"/>
          <w:right w:w="10" w:type="dxa"/>
        </w:tblCellMar>
        <w:tblLook w:val="0000" w:firstRow="0" w:lastRow="0" w:firstColumn="0" w:lastColumn="0" w:noHBand="0" w:noVBand="0"/>
      </w:tblPr>
      <w:tblGrid>
        <w:gridCol w:w="1095"/>
        <w:gridCol w:w="60"/>
        <w:gridCol w:w="985"/>
        <w:gridCol w:w="1070"/>
        <w:gridCol w:w="1070"/>
        <w:gridCol w:w="1070"/>
        <w:gridCol w:w="1070"/>
        <w:gridCol w:w="1070"/>
        <w:gridCol w:w="1070"/>
      </w:tblGrid>
      <w:tr w:rsidR="00DA4BB9" w:rsidRPr="00DA4BB9">
        <w:tc>
          <w:tcPr>
            <w:tcW w:w="1155" w:type="dxa"/>
            <w:gridSpan w:val="2"/>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2016</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2017</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2018</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2019</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2020</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2021</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2022</w:t>
            </w:r>
          </w:p>
        </w:tc>
      </w:tr>
      <w:tr w:rsidR="00DA4BB9" w:rsidRPr="00DA4BB9">
        <w:tc>
          <w:tcPr>
            <w:tcW w:w="1095"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 xml:space="preserve">Obsługa zadłużenia (po </w:t>
            </w:r>
            <w:proofErr w:type="spellStart"/>
            <w:r w:rsidRPr="00DA4BB9">
              <w:rPr>
                <w:rFonts w:ascii="Arial" w:hAnsi="Arial" w:cs="Arial"/>
                <w:b/>
                <w:bCs/>
                <w:sz w:val="18"/>
                <w:szCs w:val="18"/>
              </w:rPr>
              <w:t>wyłączeniach</w:t>
            </w:r>
            <w:proofErr w:type="spellEnd"/>
            <w:r w:rsidRPr="00DA4BB9">
              <w:rPr>
                <w:rFonts w:ascii="Arial" w:hAnsi="Arial" w:cs="Arial"/>
                <w:b/>
                <w:bCs/>
                <w:sz w:val="18"/>
                <w:szCs w:val="18"/>
              </w:rPr>
              <w:t>)</w:t>
            </w:r>
          </w:p>
        </w:tc>
        <w:tc>
          <w:tcPr>
            <w:tcW w:w="1045" w:type="dxa"/>
            <w:gridSpan w:val="2"/>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4,63%</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3,85%</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4,00%</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4,83%</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5,11%</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5,74%</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5,55%</w:t>
            </w:r>
          </w:p>
        </w:tc>
      </w:tr>
      <w:tr w:rsidR="00DA4BB9" w:rsidRPr="00DA4BB9">
        <w:tc>
          <w:tcPr>
            <w:tcW w:w="1095"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Maksymalna obsługa zadłużenia</w:t>
            </w:r>
          </w:p>
        </w:tc>
        <w:tc>
          <w:tcPr>
            <w:tcW w:w="1045" w:type="dxa"/>
            <w:gridSpan w:val="2"/>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5,01%</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4,48%</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5,94%</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6,95%</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7,63%</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7,72%</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8,58%</w:t>
            </w:r>
          </w:p>
        </w:tc>
      </w:tr>
      <w:tr w:rsidR="00DA4BB9" w:rsidRPr="00DA4BB9">
        <w:tc>
          <w:tcPr>
            <w:tcW w:w="1095"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Zachowanie relacji z art. 243</w:t>
            </w:r>
          </w:p>
        </w:tc>
        <w:tc>
          <w:tcPr>
            <w:tcW w:w="1045" w:type="dxa"/>
            <w:gridSpan w:val="2"/>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r>
      <w:tr w:rsidR="00DA4BB9" w:rsidRPr="00DA4BB9" w:rsidTr="00DA4BB9">
        <w:tc>
          <w:tcPr>
            <w:tcW w:w="1095"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1045" w:type="dxa"/>
            <w:gridSpan w:val="2"/>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2023</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2024</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2025</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2026</w:t>
            </w:r>
          </w:p>
        </w:tc>
        <w:tc>
          <w:tcPr>
            <w:tcW w:w="1070" w:type="dxa"/>
            <w:tcBorders>
              <w:top w:val="single" w:sz="4" w:space="0" w:color="auto"/>
              <w:left w:val="single" w:sz="4" w:space="0" w:color="auto"/>
              <w:bottom w:val="single" w:sz="4" w:space="0" w:color="auto"/>
              <w:right w:val="single" w:sz="4" w:space="0" w:color="auto"/>
            </w:tcBorders>
            <w:vAlign w:val="bottom"/>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DA4BB9">
              <w:rPr>
                <w:rFonts w:ascii="Arial" w:hAnsi="Arial" w:cs="Arial"/>
                <w:b/>
                <w:bCs/>
                <w:sz w:val="20"/>
                <w:szCs w:val="20"/>
              </w:rPr>
              <w:t>2027</w:t>
            </w:r>
          </w:p>
        </w:tc>
        <w:tc>
          <w:tcPr>
            <w:tcW w:w="2140" w:type="dxa"/>
            <w:gridSpan w:val="2"/>
            <w:vMerge w:val="restart"/>
            <w:tcBorders>
              <w:top w:val="single" w:sz="4" w:space="0" w:color="auto"/>
              <w:left w:val="single" w:sz="4" w:space="0" w:color="auto"/>
              <w:bottom w:val="nil"/>
              <w:right w:val="nil"/>
            </w:tcBorders>
            <w:tcMar>
              <w:right w:w="0" w:type="dxa"/>
            </w:tcMar>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DA4BB9" w:rsidRPr="00DA4BB9" w:rsidTr="00DA4BB9">
        <w:tc>
          <w:tcPr>
            <w:tcW w:w="1095"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 xml:space="preserve">Obsługa zadłużenia (po </w:t>
            </w:r>
            <w:proofErr w:type="spellStart"/>
            <w:r w:rsidRPr="00DA4BB9">
              <w:rPr>
                <w:rFonts w:ascii="Arial" w:hAnsi="Arial" w:cs="Arial"/>
                <w:b/>
                <w:bCs/>
                <w:sz w:val="18"/>
                <w:szCs w:val="18"/>
              </w:rPr>
              <w:t>wyłączeniach</w:t>
            </w:r>
            <w:proofErr w:type="spellEnd"/>
            <w:r w:rsidRPr="00DA4BB9">
              <w:rPr>
                <w:rFonts w:ascii="Arial" w:hAnsi="Arial" w:cs="Arial"/>
                <w:b/>
                <w:bCs/>
                <w:sz w:val="18"/>
                <w:szCs w:val="18"/>
              </w:rPr>
              <w:t>)</w:t>
            </w:r>
          </w:p>
        </w:tc>
        <w:tc>
          <w:tcPr>
            <w:tcW w:w="1045" w:type="dxa"/>
            <w:gridSpan w:val="2"/>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5,26%</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4,59%</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4,48%</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3,22%</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3,41%</w:t>
            </w:r>
          </w:p>
        </w:tc>
        <w:tc>
          <w:tcPr>
            <w:tcW w:w="1070" w:type="dxa"/>
            <w:gridSpan w:val="2"/>
            <w:vMerge/>
            <w:tcBorders>
              <w:top w:val="nil"/>
              <w:left w:val="single" w:sz="4" w:space="0" w:color="auto"/>
              <w:bottom w:val="single" w:sz="4" w:space="0" w:color="auto"/>
              <w:right w:val="nil"/>
            </w:tcBorders>
            <w:tcMar>
              <w:right w:w="0" w:type="dxa"/>
            </w:tcMar>
          </w:tcPr>
          <w:p w:rsidR="00DA4BB9" w:rsidRPr="00DA4BB9" w:rsidRDefault="00DA4BB9" w:rsidP="00DA4BB9">
            <w:pPr>
              <w:widowControl w:val="0"/>
              <w:autoSpaceDE w:val="0"/>
              <w:autoSpaceDN w:val="0"/>
              <w:adjustRightInd w:val="0"/>
              <w:spacing w:after="0" w:line="240" w:lineRule="auto"/>
              <w:rPr>
                <w:rFonts w:ascii="Arial" w:hAnsi="Arial" w:cs="Arial"/>
                <w:sz w:val="20"/>
                <w:szCs w:val="20"/>
              </w:rPr>
            </w:pPr>
          </w:p>
        </w:tc>
      </w:tr>
      <w:tr w:rsidR="00DA4BB9" w:rsidRPr="00DA4BB9" w:rsidTr="00DA4BB9">
        <w:tc>
          <w:tcPr>
            <w:tcW w:w="1095"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Maksymalna obsługa zadłużenia</w:t>
            </w:r>
          </w:p>
        </w:tc>
        <w:tc>
          <w:tcPr>
            <w:tcW w:w="1045" w:type="dxa"/>
            <w:gridSpan w:val="2"/>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9,44%</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10,37%</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10,86%</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11,27%</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11,63%</w:t>
            </w:r>
          </w:p>
        </w:tc>
        <w:tc>
          <w:tcPr>
            <w:tcW w:w="1070" w:type="dxa"/>
            <w:gridSpan w:val="2"/>
            <w:vMerge/>
            <w:tcBorders>
              <w:top w:val="nil"/>
              <w:left w:val="single" w:sz="4" w:space="0" w:color="auto"/>
              <w:bottom w:val="single" w:sz="4" w:space="0" w:color="auto"/>
              <w:right w:val="nil"/>
            </w:tcBorders>
            <w:tcMar>
              <w:right w:w="0" w:type="dxa"/>
            </w:tcMar>
          </w:tcPr>
          <w:p w:rsidR="00DA4BB9" w:rsidRPr="00DA4BB9" w:rsidRDefault="00DA4BB9" w:rsidP="00DA4BB9">
            <w:pPr>
              <w:widowControl w:val="0"/>
              <w:autoSpaceDE w:val="0"/>
              <w:autoSpaceDN w:val="0"/>
              <w:adjustRightInd w:val="0"/>
              <w:spacing w:after="0" w:line="240" w:lineRule="auto"/>
              <w:rPr>
                <w:rFonts w:ascii="Arial" w:hAnsi="Arial" w:cs="Arial"/>
                <w:sz w:val="20"/>
                <w:szCs w:val="20"/>
              </w:rPr>
            </w:pPr>
          </w:p>
        </w:tc>
      </w:tr>
      <w:tr w:rsidR="00DA4BB9" w:rsidRPr="00DA4BB9" w:rsidTr="00DA4BB9">
        <w:tc>
          <w:tcPr>
            <w:tcW w:w="1095"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DA4BB9">
              <w:rPr>
                <w:rFonts w:ascii="Arial" w:hAnsi="Arial" w:cs="Arial"/>
                <w:b/>
                <w:bCs/>
                <w:sz w:val="18"/>
                <w:szCs w:val="18"/>
              </w:rPr>
              <w:t>Zachowanie relacji z art. 243</w:t>
            </w:r>
          </w:p>
        </w:tc>
        <w:tc>
          <w:tcPr>
            <w:tcW w:w="1045" w:type="dxa"/>
            <w:gridSpan w:val="2"/>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tcBorders>
              <w:top w:val="single" w:sz="4" w:space="0" w:color="auto"/>
              <w:left w:val="single" w:sz="4" w:space="0" w:color="auto"/>
              <w:bottom w:val="single" w:sz="4" w:space="0" w:color="auto"/>
              <w:right w:val="single" w:sz="4" w:space="0" w:color="auto"/>
            </w:tcBorders>
          </w:tcPr>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DA4BB9">
              <w:rPr>
                <w:rFonts w:ascii="Arial" w:hAnsi="Arial" w:cs="Arial"/>
                <w:sz w:val="20"/>
                <w:szCs w:val="20"/>
              </w:rPr>
              <w:t>Tak</w:t>
            </w:r>
          </w:p>
        </w:tc>
        <w:tc>
          <w:tcPr>
            <w:tcW w:w="1070" w:type="dxa"/>
            <w:gridSpan w:val="2"/>
            <w:vMerge/>
            <w:tcBorders>
              <w:top w:val="nil"/>
              <w:left w:val="single" w:sz="4" w:space="0" w:color="auto"/>
              <w:bottom w:val="nil"/>
              <w:right w:val="nil"/>
            </w:tcBorders>
            <w:tcMar>
              <w:right w:w="0" w:type="dxa"/>
            </w:tcMar>
            <w:vAlign w:val="center"/>
          </w:tcPr>
          <w:p w:rsidR="00DA4BB9" w:rsidRPr="00DA4BB9" w:rsidRDefault="00DA4BB9" w:rsidP="00DA4BB9">
            <w:pPr>
              <w:widowControl w:val="0"/>
              <w:autoSpaceDE w:val="0"/>
              <w:autoSpaceDN w:val="0"/>
              <w:adjustRightInd w:val="0"/>
              <w:spacing w:after="0" w:line="240" w:lineRule="auto"/>
              <w:rPr>
                <w:rFonts w:ascii="Arial" w:hAnsi="Arial" w:cs="Arial"/>
                <w:sz w:val="20"/>
                <w:szCs w:val="20"/>
              </w:rPr>
            </w:pPr>
          </w:p>
        </w:tc>
      </w:tr>
    </w:tbl>
    <w:p w:rsidR="000658BA" w:rsidRDefault="00DA4BB9" w:rsidP="00065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16"/>
          <w:szCs w:val="16"/>
        </w:rPr>
      </w:pPr>
      <w:r w:rsidRPr="00DA4BB9">
        <w:rPr>
          <w:rFonts w:ascii="Arial" w:hAnsi="Arial" w:cs="Arial"/>
          <w:sz w:val="16"/>
          <w:szCs w:val="16"/>
        </w:rPr>
        <w:t>Źródło: Opracowanie własne.</w:t>
      </w:r>
      <w:r w:rsidRPr="00DA4BB9">
        <w:rPr>
          <w:rFonts w:ascii="Arial" w:hAnsi="Arial" w:cs="Arial"/>
          <w:sz w:val="16"/>
          <w:szCs w:val="16"/>
        </w:rPr>
        <w:br w:type="column"/>
      </w:r>
    </w:p>
    <w:p w:rsidR="008D12A7" w:rsidRDefault="008D12A7" w:rsidP="00065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16"/>
          <w:szCs w:val="16"/>
        </w:rPr>
      </w:pPr>
    </w:p>
    <w:p w:rsidR="00DA4BB9" w:rsidRPr="00DA4BB9" w:rsidRDefault="00DA4BB9" w:rsidP="00065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r w:rsidRPr="00DA4BB9">
        <w:rPr>
          <w:rFonts w:ascii="Arial" w:hAnsi="Arial" w:cs="Arial"/>
        </w:rPr>
        <w:t>Graficzne przedstawienie relacji prezentuje wykres poniżej.</w:t>
      </w: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color w:val="171717"/>
          <w:sz w:val="20"/>
          <w:szCs w:val="20"/>
        </w:rPr>
      </w:pPr>
      <w:r w:rsidRPr="00DA4BB9">
        <w:rPr>
          <w:rFonts w:ascii="Arial" w:hAnsi="Arial" w:cs="Arial"/>
          <w:noProof/>
          <w:sz w:val="20"/>
          <w:szCs w:val="20"/>
          <w:lang w:eastAsia="pl-PL"/>
        </w:rPr>
        <w:drawing>
          <wp:inline distT="0" distB="0" distL="0" distR="0">
            <wp:extent cx="6181725" cy="30861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725" cy="3086100"/>
                    </a:xfrm>
                    <a:prstGeom prst="rect">
                      <a:avLst/>
                    </a:prstGeom>
                    <a:noFill/>
                    <a:ln>
                      <a:noFill/>
                    </a:ln>
                  </pic:spPr>
                </pic:pic>
              </a:graphicData>
            </a:graphic>
          </wp:inline>
        </w:drawing>
      </w:r>
    </w:p>
    <w:p w:rsidR="00DA4BB9" w:rsidRPr="00DA4BB9" w:rsidRDefault="00DA4BB9" w:rsidP="00DA4B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76" w:lineRule="auto"/>
        <w:jc w:val="both"/>
        <w:rPr>
          <w:rFonts w:ascii="Arial" w:hAnsi="Arial" w:cs="Arial"/>
        </w:rPr>
      </w:pPr>
      <w:r w:rsidRPr="00DA4BB9">
        <w:rPr>
          <w:rFonts w:ascii="Arial" w:hAnsi="Arial" w:cs="Arial"/>
          <w:color w:val="171717"/>
        </w:rPr>
        <w:t xml:space="preserve">Prognozy dochodów i wydatków Gminy Kłomnice zachowują relację z art. 243 </w:t>
      </w:r>
      <w:proofErr w:type="spellStart"/>
      <w:r w:rsidRPr="00DA4BB9">
        <w:rPr>
          <w:rFonts w:ascii="Arial" w:hAnsi="Arial" w:cs="Arial"/>
          <w:color w:val="171717"/>
        </w:rPr>
        <w:t>UoFP</w:t>
      </w:r>
      <w:proofErr w:type="spellEnd"/>
      <w:r w:rsidRPr="00DA4BB9">
        <w:rPr>
          <w:rFonts w:ascii="Arial" w:hAnsi="Arial" w:cs="Arial"/>
          <w:color w:val="171717"/>
        </w:rPr>
        <w:t xml:space="preserve">. Pomiędzy wskaźnikiem maksymalnej a faktycznej obsługi zadłużenia występuje margines bezpieczeństwa. </w:t>
      </w:r>
      <w:r w:rsidRPr="00DA4BB9">
        <w:rPr>
          <w:rFonts w:ascii="Arial" w:hAnsi="Arial" w:cs="Arial"/>
        </w:rPr>
        <w:t>Struktura budżetu Gminy Kłomnice zapewnia bezpieczeństwo finansowe Gminy w prognozowanym okresie. Jednostka na bieżąco reguluje swoje zobowiązania.</w:t>
      </w:r>
    </w:p>
    <w:p w:rsidR="00DA4BB9" w:rsidRPr="00DA4BB9" w:rsidRDefault="00DA4BB9" w:rsidP="00DA4BB9">
      <w:pPr>
        <w:autoSpaceDE w:val="0"/>
        <w:autoSpaceDN w:val="0"/>
        <w:adjustRightInd w:val="0"/>
        <w:spacing w:after="240" w:line="276" w:lineRule="auto"/>
        <w:jc w:val="both"/>
        <w:rPr>
          <w:rFonts w:ascii="Arial" w:hAnsi="Arial" w:cs="Arial"/>
          <w:color w:val="171717"/>
          <w:sz w:val="20"/>
          <w:szCs w:val="20"/>
        </w:rPr>
      </w:pP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rPr>
      </w:pPr>
    </w:p>
    <w:p w:rsidR="00DA4BB9" w:rsidRPr="00DA4BB9" w:rsidRDefault="00DA4BB9" w:rsidP="00DA4B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p>
    <w:p w:rsidR="00FA2EB9" w:rsidRDefault="00FA2EB9"/>
    <w:sectPr w:rsidR="00FA2EB9" w:rsidSect="00AC476B">
      <w:pgSz w:w="12240" w:h="15840"/>
      <w:pgMar w:top="1138" w:right="1138" w:bottom="1138" w:left="113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0D"/>
    <w:rsid w:val="000658BA"/>
    <w:rsid w:val="000D4698"/>
    <w:rsid w:val="003113C6"/>
    <w:rsid w:val="003D1032"/>
    <w:rsid w:val="0082070D"/>
    <w:rsid w:val="008D12A7"/>
    <w:rsid w:val="00B4732D"/>
    <w:rsid w:val="00DA4BB9"/>
    <w:rsid w:val="00FA2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82070D"/>
    <w:pPr>
      <w:widowControl w:val="0"/>
      <w:autoSpaceDE w:val="0"/>
      <w:autoSpaceDN w:val="0"/>
      <w:adjustRightInd w:val="0"/>
      <w:spacing w:after="0" w:line="240" w:lineRule="auto"/>
    </w:pPr>
    <w:rPr>
      <w:rFonts w:ascii="Arial" w:hAnsi="Arial" w:cs="Arial"/>
      <w:sz w:val="24"/>
      <w:szCs w:val="24"/>
    </w:rPr>
  </w:style>
  <w:style w:type="paragraph" w:styleId="Tekstdymka">
    <w:name w:val="Balloon Text"/>
    <w:basedOn w:val="Normalny"/>
    <w:link w:val="TekstdymkaZnak"/>
    <w:uiPriority w:val="99"/>
    <w:semiHidden/>
    <w:unhideWhenUsed/>
    <w:rsid w:val="00B473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82070D"/>
    <w:pPr>
      <w:widowControl w:val="0"/>
      <w:autoSpaceDE w:val="0"/>
      <w:autoSpaceDN w:val="0"/>
      <w:adjustRightInd w:val="0"/>
      <w:spacing w:after="0" w:line="240" w:lineRule="auto"/>
    </w:pPr>
    <w:rPr>
      <w:rFonts w:ascii="Arial" w:hAnsi="Arial" w:cs="Arial"/>
      <w:sz w:val="24"/>
      <w:szCs w:val="24"/>
    </w:rPr>
  </w:style>
  <w:style w:type="paragraph" w:styleId="Tekstdymka">
    <w:name w:val="Balloon Text"/>
    <w:basedOn w:val="Normalny"/>
    <w:link w:val="TekstdymkaZnak"/>
    <w:uiPriority w:val="99"/>
    <w:semiHidden/>
    <w:unhideWhenUsed/>
    <w:rsid w:val="00B473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2384</Words>
  <Characters>14304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Sosnowska</dc:creator>
  <cp:keywords/>
  <dc:description/>
  <cp:lastModifiedBy>Jolanta Bieda</cp:lastModifiedBy>
  <cp:revision>3</cp:revision>
  <cp:lastPrinted>2016-01-04T14:14:00Z</cp:lastPrinted>
  <dcterms:created xsi:type="dcterms:W3CDTF">2016-01-04T13:10:00Z</dcterms:created>
  <dcterms:modified xsi:type="dcterms:W3CDTF">2016-01-04T14:15:00Z</dcterms:modified>
</cp:coreProperties>
</file>