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99" w:rsidRPr="00A52905" w:rsidRDefault="00A52905">
      <w:pPr>
        <w:rPr>
          <w:rFonts w:ascii="Times New Roman" w:hAnsi="Times New Roman" w:cs="Times New Roman"/>
          <w:b/>
          <w:sz w:val="24"/>
          <w:szCs w:val="24"/>
        </w:rPr>
      </w:pPr>
      <w:r w:rsidRPr="00A52905">
        <w:rPr>
          <w:rFonts w:ascii="Times New Roman" w:hAnsi="Times New Roman" w:cs="Times New Roman"/>
          <w:b/>
          <w:sz w:val="24"/>
          <w:szCs w:val="24"/>
        </w:rPr>
        <w:t>Gmina Kłomnice nie posiada akcji ani udziałów w innych podmiotach</w:t>
      </w:r>
      <w:bookmarkStart w:id="0" w:name="_GoBack"/>
      <w:bookmarkEnd w:id="0"/>
      <w:r w:rsidRPr="00A5290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76099" w:rsidRPr="00A5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5"/>
    <w:rsid w:val="00A52905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Halina Paruzel Tkacz</cp:lastModifiedBy>
  <cp:revision>1</cp:revision>
  <dcterms:created xsi:type="dcterms:W3CDTF">2013-07-15T08:44:00Z</dcterms:created>
  <dcterms:modified xsi:type="dcterms:W3CDTF">2013-07-15T08:45:00Z</dcterms:modified>
</cp:coreProperties>
</file>